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595959"/>
          <w:sz w:val="20"/>
          <w:szCs w:val="20"/>
        </w:rPr>
        <w:t xml:space="preserve">MASTER OF EDUCATIONAL TECHNOLOGY (MET)</w:t>
      </w:r>
    </w:p>
    <w:p>
      <w:pPr>
        <w:spacing w:after="80" w:before="0"/>
        <w:jc w:val="center"/>
      </w:pPr>
      <w:r>
        <w:rPr>
          <w:rFonts w:ascii="Arial" w:cs="Arial" w:eastAsia="Arial" w:hAnsi="Arial"/>
          <w:b/>
          <w:bCs/>
          <w:color w:val="2E75B6"/>
          <w:sz w:val="24"/>
          <w:szCs w:val="24"/>
        </w:rPr>
        <w:t xml:space="preserve">MET9243 — Inclusive E-Teaching and Learning Instructional Design</w:t>
      </w:r>
    </w:p>
    <w:p>
      <w:pPr>
        <w:spacing w:after="300" w:before="0"/>
        <w:jc w:val="center"/>
      </w:pPr>
      <w:r>
        <w:rPr>
          <w:rFonts w:ascii="Arial" w:cs="Arial" w:eastAsia="Arial" w:hAnsi="Arial"/>
          <w:color w:val="595959"/>
          <w:sz w:val="20"/>
          <w:szCs w:val="20"/>
        </w:rPr>
        <w:t xml:space="preserve">Year 1 | Semester 2 | Blended Learning Mode</w:t>
      </w:r>
    </w:p>
    <w:p>
      <w:pPr>
        <w:pBdr>
          <w:bottom w:val="single" w:color="2E75B6" w:sz="8" w:space="1"/>
        </w:pBdr>
        <w:spacing w:after="240" w:before="0"/>
      </w:pPr>
      <w:r>
        <w:t xml:space="preserve"/>
      </w:r>
    </w:p>
    <w:p>
      <w:pPr>
        <w:spacing w:after="60" w:before="200"/>
      </w:pPr>
      <w:r>
        <w:rPr>
          <w:rFonts w:ascii="Arial" w:cs="Arial" w:eastAsia="Arial" w:hAnsi="Arial"/>
          <w:b/>
          <w:bCs/>
          <w:caps/>
          <w:color w:val="595959"/>
          <w:sz w:val="28"/>
          <w:szCs w:val="28"/>
        </w:rPr>
        <w:t xml:space="preserve">UNIT 5</w:t>
      </w:r>
    </w:p>
    <w:p>
      <w:pPr>
        <w:spacing w:after="200" w:before="0"/>
      </w:pPr>
      <w:r>
        <w:rPr>
          <w:rFonts w:ascii="Arial" w:cs="Arial" w:eastAsia="Arial" w:hAnsi="Arial"/>
          <w:b/>
          <w:bCs/>
          <w:color w:val="1F4E79"/>
          <w:sz w:val="40"/>
          <w:szCs w:val="40"/>
        </w:rPr>
        <w:t xml:space="preserve">Inclusive Assessment and E-Feedback</w:t>
      </w:r>
    </w:p>
    <w:p>
      <w:pPr>
        <w:pStyle w:val="Heading2"/>
        <w:spacing w:after="100" w:before="280"/>
      </w:pPr>
      <w:r>
        <w:rPr>
          <w:rFonts w:ascii="Arial" w:cs="Arial" w:eastAsia="Arial" w:hAnsi="Arial"/>
          <w:b/>
          <w:bCs/>
          <w:color w:val="2E75B6"/>
          <w:sz w:val="28"/>
          <w:szCs w:val="28"/>
        </w:rPr>
        <w:t xml:space="preserve">Introduction and Aim</w:t>
      </w:r>
    </w:p>
    <w:p>
      <w:pPr>
        <w:spacing w:after="80" w:before="60"/>
      </w:pPr>
      <w:r>
        <w:rPr>
          <w:rFonts w:ascii="Arial" w:cs="Arial" w:eastAsia="Arial" w:hAnsi="Arial"/>
          <w:color w:val="2F2F2F"/>
          <w:sz w:val="22"/>
          <w:szCs w:val="22"/>
        </w:rPr>
        <w:t xml:space="preserve">Assessment is the most high-stakes element of the learning experience. When assessment design excludes or disadvantages learners — through inaccessible formats, culturally biased tasks, inflexible conditions, or inadequate feedback — it can negate all the inclusive design effort invested elsewhere in a course. Conversely, well-designed inclusive assessment communicates to learners that the institution believes in their capacity to succeed and is committed to demonstrating that equitably.</w:t>
      </w:r>
    </w:p>
    <w:p>
      <w:pPr>
        <w:spacing w:after="0" w:before="60"/>
      </w:pPr>
      <w:r>
        <w:t xml:space="preserve"/>
      </w:r>
    </w:p>
    <w:p>
      <w:pPr>
        <w:spacing w:after="80" w:before="60"/>
      </w:pPr>
      <w:r>
        <w:rPr>
          <w:rFonts w:ascii="Arial" w:cs="Arial" w:eastAsia="Arial" w:hAnsi="Arial"/>
          <w:color w:val="2F2F2F"/>
          <w:sz w:val="22"/>
          <w:szCs w:val="22"/>
        </w:rPr>
        <w:t xml:space="preserve">This unit examines how assessment in online and blended learning environments can be designed to be genuinely inclusive — measuring what learners know and can do, not their ability to navigate an inaccessible format or perform under conditions that disadvantage particular groups. It also focuses on e-feedback: how digital tools and strategies can be used to provide feedback that is timely, actionable, personalised, and accessible to all learners.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
              <w:bottom w:val="single" w:color="2E75B6" w:sz="1"/>
              <w:right w:val="single" w:color="2E75B6" w:sz="1"/>
            </w:tcBorders>
            <w:shd w:fill="D6E4F0" w:val="clear"/>
            <w:tcMar>
              <w:top w:type="dxa" w:w="160"/>
              <w:left w:type="dxa" w:w="200"/>
              <w:bottom w:type="dxa" w:w="160"/>
              <w:right w:type="dxa" w:w="200"/>
            </w:tcMar>
          </w:tcPr>
          <w:p>
            <w:pPr>
              <w:spacing w:after="60" w:before="0"/>
            </w:pPr>
            <w:r>
              <w:rPr>
                <w:rFonts w:ascii="Arial" w:cs="Arial" w:eastAsia="Arial" w:hAnsi="Arial"/>
                <w:b/>
                <w:bCs/>
                <w:color w:val="1F4E79"/>
                <w:sz w:val="22"/>
                <w:szCs w:val="22"/>
              </w:rPr>
              <w:t xml:space="preserve">Unit Aim</w:t>
            </w:r>
          </w:p>
          <w:p>
            <w:pPr>
              <w:spacing w:after="0" w:before="0"/>
            </w:pPr>
            <w:r>
              <w:rPr>
                <w:rFonts w:ascii="Arial" w:cs="Arial" w:eastAsia="Arial" w:hAnsi="Arial"/>
                <w:i/>
                <w:iCs/>
                <w:color w:val="2F2F2F"/>
                <w:sz w:val="22"/>
                <w:szCs w:val="22"/>
              </w:rPr>
              <w:t xml:space="preserve">To equip students with the knowledge and practical skills to design inclusive assessments and deliver accessible, effective e-feedback in online and blended learning environments, applying UDL principles and digital tools to ensure all learners can demonstrate their learning equitably.</w:t>
            </w:r>
          </w:p>
        </w:tc>
      </w:tr>
    </w:tbl>
    <w:p>
      <w:pPr>
        <w:spacing w:after="0" w:before="200"/>
      </w:pPr>
      <w:r>
        <w:t xml:space="preserve"/>
      </w:r>
    </w:p>
    <w:p>
      <w:pPr>
        <w:pStyle w:val="Heading2"/>
        <w:spacing w:after="100" w:before="280"/>
      </w:pPr>
      <w:r>
        <w:rPr>
          <w:rFonts w:ascii="Arial" w:cs="Arial" w:eastAsia="Arial" w:hAnsi="Arial"/>
          <w:b/>
          <w:bCs/>
          <w:color w:val="2E75B6"/>
          <w:sz w:val="28"/>
          <w:szCs w:val="28"/>
        </w:rPr>
        <w:t xml:space="preserve">Learning Outcomes</w:t>
      </w:r>
    </w:p>
    <w:p>
      <w:pPr>
        <w:spacing w:after="80" w:before="60"/>
      </w:pPr>
      <w:r>
        <w:rPr>
          <w:rFonts w:ascii="Arial" w:cs="Arial" w:eastAsia="Arial" w:hAnsi="Arial"/>
          <w:color w:val="2F2F2F"/>
          <w:sz w:val="22"/>
          <w:szCs w:val="22"/>
        </w:rPr>
        <w:t xml:space="preserve">Upon successful completion of this unit, students should be able to:</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8460"/>
      </w:tblGrid>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LO1</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Explain the principles of inclusive assessment design and identify how traditional assessment practices can disadvantage diverse and disabled learners in online environments.</w:t>
            </w:r>
          </w:p>
        </w:tc>
      </w:tr>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LO2</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Design inclusive assessment tasks that offer flexible formats for demonstrating learning outcomes, applying UDL principles and reasonable adjustment frameworks.</w:t>
            </w:r>
          </w:p>
        </w:tc>
      </w:tr>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LO3</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Develop accessible assessment instruments — including rubrics, instructions, and submission interfaces — that are clear, equitable, and navigable by all learners.</w:t>
            </w:r>
          </w:p>
        </w:tc>
      </w:tr>
      <w:tr>
        <w:tc>
          <w:tcPr>
            <w:tcW w:type="dxa" w:w="900"/>
            <w:tcBorders>
              <w:top w:val="single" w:color="70AD47" w:sz="1"/>
              <w:left w:val="single" w:color="70AD47" w:sz="1"/>
              <w:bottom w:val="single" w:color="70AD47" w:sz="1"/>
              <w:right w:val="single" w:color="70AD47" w:sz="1"/>
            </w:tcBorders>
            <w:shd w:fill="70AD47" w:val="clear"/>
            <w:tcMar>
              <w:top w:type="dxa" w:w="100"/>
              <w:left w:type="dxa" w:w="160"/>
              <w:bottom w:type="dxa" w:w="100"/>
              <w:right w:type="dxa" w:w="160"/>
            </w:tcMar>
          </w:tcPr>
          <w:p>
            <w:pPr>
              <w:jc w:val="center"/>
            </w:pPr>
            <w:r>
              <w:rPr>
                <w:rFonts w:ascii="Arial" w:cs="Arial" w:eastAsia="Arial" w:hAnsi="Arial"/>
                <w:b/>
                <w:bCs/>
                <w:color w:val="FFFFFF"/>
                <w:sz w:val="22"/>
                <w:szCs w:val="22"/>
              </w:rPr>
              <w:t xml:space="preserve">LO4</w:t>
            </w:r>
          </w:p>
        </w:tc>
        <w:tc>
          <w:tcPr>
            <w:tcW w:type="dxa" w:w="8460"/>
            <w:tcBorders>
              <w:top w:val="single" w:color="70AD47" w:sz="1"/>
              <w:left w:val="single" w:color="70AD47" w:sz="1"/>
              <w:bottom w:val="single" w:color="70AD47" w:sz="1"/>
              <w:right w:val="single" w:color="70AD47" w:sz="1"/>
            </w:tcBorders>
            <w:shd w:fill="E2EFDA" w:val="clear"/>
            <w:tcMar>
              <w:top w:type="dxa" w:w="100"/>
              <w:left w:type="dxa" w:w="180"/>
              <w:bottom w:type="dxa" w:w="100"/>
              <w:right w:type="dxa" w:w="180"/>
            </w:tcMar>
          </w:tcPr>
          <w:p>
            <w:r>
              <w:rPr>
                <w:rFonts w:ascii="Arial" w:cs="Arial" w:eastAsia="Arial" w:hAnsi="Arial"/>
                <w:color w:val="2F2F2F"/>
                <w:sz w:val="22"/>
                <w:szCs w:val="22"/>
              </w:rPr>
              <w:t xml:space="preserve">Select and apply appropriate e-feedback strategies and digital tools to provide timely, accessible, and actionable feedback that supports all learners' development.</w:t>
            </w:r>
          </w:p>
        </w:tc>
      </w:tr>
    </w:tbl>
    <w:p>
      <w:pPr>
        <w:spacing w:after="0" w:before="200"/>
      </w:pPr>
      <w:r>
        <w:t xml:space="preserve"/>
      </w:r>
    </w:p>
    <w:p>
      <w:pPr>
        <w:pStyle w:val="Heading2"/>
        <w:spacing w:after="100" w:before="280"/>
      </w:pPr>
      <w:r>
        <w:rPr>
          <w:rFonts w:ascii="Arial" w:cs="Arial" w:eastAsia="Arial" w:hAnsi="Arial"/>
          <w:b/>
          <w:bCs/>
          <w:color w:val="2E75B6"/>
          <w:sz w:val="28"/>
          <w:szCs w:val="28"/>
        </w:rPr>
        <w:t xml:space="preserve">Introductory Activity</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single" w:color="F0A500" w:sz="1"/>
              <w:bottom w:val="single" w:color="F0A500" w:sz="1"/>
              <w:right w:val="single" w:color="F0A500" w:sz="1"/>
            </w:tcBorders>
            <w:shd w:fill="FFFDE7" w:val="clear"/>
            <w:tcMar>
              <w:top w:type="dxa" w:w="160"/>
              <w:left w:type="dxa" w:w="200"/>
              <w:bottom w:type="dxa" w:w="160"/>
              <w:right w:type="dxa" w:w="200"/>
            </w:tcMar>
          </w:tcPr>
          <w:p>
            <w:pPr>
              <w:spacing w:after="80" w:before="0"/>
            </w:pPr>
            <w:r>
              <w:rPr>
                <w:rFonts w:ascii="Arial" w:cs="Arial" w:eastAsia="Arial" w:hAnsi="Arial"/>
                <w:b/>
                <w:bCs/>
                <w:color w:val="8A6300"/>
                <w:sz w:val="22"/>
                <w:szCs w:val="22"/>
              </w:rPr>
              <w:t xml:space="preserve">Activity 5.0 — </w:t>
            </w:r>
            <w:r>
              <w:rPr>
                <w:rFonts w:ascii="Arial" w:cs="Arial" w:eastAsia="Arial" w:hAnsi="Arial"/>
                <w:b/>
                <w:bCs/>
                <w:color w:val="2F2F2F"/>
                <w:sz w:val="22"/>
                <w:szCs w:val="22"/>
              </w:rPr>
              <w:t xml:space="preserve">Assessment Fairness Debate (Blended)</w:t>
            </w:r>
          </w:p>
          <w:p>
            <w:pPr>
              <w:spacing w:after="60" w:before="0"/>
            </w:pPr>
            <w:r>
              <w:rPr>
                <w:rFonts w:ascii="Arial" w:cs="Arial" w:eastAsia="Arial" w:hAnsi="Arial"/>
                <w:b/>
                <w:bCs/>
                <w:color w:val="2F2F2F"/>
                <w:sz w:val="22"/>
                <w:szCs w:val="22"/>
              </w:rPr>
              <w:t xml:space="preserve">Mode: </w:t>
            </w:r>
            <w:r>
              <w:rPr>
                <w:rFonts w:ascii="Arial" w:cs="Arial" w:eastAsia="Arial" w:hAnsi="Arial"/>
                <w:color w:val="2F2F2F"/>
                <w:sz w:val="22"/>
                <w:szCs w:val="22"/>
              </w:rPr>
              <w:t xml:space="preserve">Blended — online pre-reading and position forming, followed by in-class structured debate</w:t>
            </w:r>
          </w:p>
          <w:p>
            <w:pPr>
              <w:spacing w:after="60" w:before="0"/>
            </w:pPr>
            <w:r>
              <w:rPr>
                <w:rFonts w:ascii="Arial" w:cs="Arial" w:eastAsia="Arial" w:hAnsi="Arial"/>
                <w:b/>
                <w:bCs/>
                <w:color w:val="2F2F2F"/>
                <w:sz w:val="22"/>
                <w:szCs w:val="22"/>
              </w:rPr>
              <w:t xml:space="preserve">Duration: </w:t>
            </w:r>
            <w:r>
              <w:rPr>
                <w:rFonts w:ascii="Arial" w:cs="Arial" w:eastAsia="Arial" w:hAnsi="Arial"/>
                <w:color w:val="2F2F2F"/>
                <w:sz w:val="22"/>
                <w:szCs w:val="22"/>
              </w:rPr>
              <w:t xml:space="preserve">50 minutes (20 min online preparation + 30 min in-class debate and debrief)</w:t>
            </w:r>
          </w:p>
          <w:p>
            <w:pPr>
              <w:spacing w:after="0" w:before="40"/>
            </w:pPr>
            <w:r>
              <w:t xml:space="preserve"/>
            </w:r>
          </w:p>
          <w:p>
            <w:pPr>
              <w:spacing w:after="60" w:before="0"/>
            </w:pPr>
            <w:r>
              <w:rPr>
                <w:rFonts w:ascii="Arial" w:cs="Arial" w:eastAsia="Arial" w:hAnsi="Arial"/>
                <w:b/>
                <w:bCs/>
                <w:color w:val="2F2F2F"/>
                <w:sz w:val="22"/>
                <w:szCs w:val="22"/>
              </w:rPr>
              <w:t xml:space="preserve">Online (Before Class):</w:t>
            </w:r>
          </w:p>
          <w:p>
            <w:pPr>
              <w:spacing w:after="80" w:before="60"/>
            </w:pPr>
            <w:r>
              <w:rPr>
                <w:rFonts w:ascii="Arial" w:cs="Arial" w:eastAsia="Arial" w:hAnsi="Arial"/>
                <w:color w:val="2F2F2F"/>
                <w:sz w:val="22"/>
                <w:szCs w:val="22"/>
              </w:rPr>
              <w:t xml:space="preserve">Read the following two short position statements posted on Moodle, then post a 150-word response indicating which position you initially agree with and why:</w:t>
            </w:r>
          </w:p>
          <w:p>
            <w:pPr>
              <w:spacing w:after="40" w:before="60"/>
            </w:pPr>
            <w:r>
              <w:rPr>
                <w:rFonts w:ascii="Arial" w:cs="Arial" w:eastAsia="Arial" w:hAnsi="Arial"/>
                <w:b/>
                <w:bCs/>
                <w:color w:val="006D6D"/>
                <w:sz w:val="22"/>
                <w:szCs w:val="22"/>
              </w:rPr>
              <w:t xml:space="preserve">Position A: </w:t>
            </w:r>
            <w:r>
              <w:rPr>
                <w:rFonts w:ascii="Arial" w:cs="Arial" w:eastAsia="Arial" w:hAnsi="Arial"/>
                <w:i/>
                <w:iCs/>
                <w:color w:val="2F2F2F"/>
                <w:sz w:val="22"/>
                <w:szCs w:val="22"/>
              </w:rPr>
              <w:t xml:space="preserve">'Offering learners different assessment formats undermines academic standards. All students must be assessed in the same way to ensure fairness and comparability of results.'</w:t>
            </w:r>
          </w:p>
          <w:p>
            <w:pPr>
              <w:spacing w:after="60" w:before="0"/>
            </w:pPr>
            <w:r>
              <w:rPr>
                <w:rFonts w:ascii="Arial" w:cs="Arial" w:eastAsia="Arial" w:hAnsi="Arial"/>
                <w:b/>
                <w:bCs/>
                <w:color w:val="5C2D91"/>
                <w:sz w:val="22"/>
                <w:szCs w:val="22"/>
              </w:rPr>
              <w:t xml:space="preserve">Position B: </w:t>
            </w:r>
            <w:r>
              <w:rPr>
                <w:rFonts w:ascii="Arial" w:cs="Arial" w:eastAsia="Arial" w:hAnsi="Arial"/>
                <w:i/>
                <w:iCs/>
                <w:color w:val="2F2F2F"/>
                <w:sz w:val="22"/>
                <w:szCs w:val="22"/>
              </w:rPr>
              <w:t xml:space="preserve">'Providing the same assessment format to all learners is not fair — it is standardised. True fairness means every learner has an equitable opportunity to demonstrate their knowledge, which may require different formats.'</w:t>
            </w:r>
          </w:p>
          <w:p>
            <w:pPr>
              <w:spacing w:after="0" w:before="40"/>
            </w:pPr>
            <w:r>
              <w:t xml:space="preserve"/>
            </w:r>
          </w:p>
          <w:p>
            <w:pPr>
              <w:spacing w:after="60" w:before="0"/>
            </w:pPr>
            <w:r>
              <w:rPr>
                <w:rFonts w:ascii="Arial" w:cs="Arial" w:eastAsia="Arial" w:hAnsi="Arial"/>
                <w:b/>
                <w:bCs/>
                <w:color w:val="2F2F2F"/>
                <w:sz w:val="22"/>
                <w:szCs w:val="22"/>
              </w:rPr>
              <w:t xml:space="preserve">In Class:</w:t>
            </w:r>
          </w:p>
          <w:p>
            <w:pPr>
              <w:spacing w:after="80" w:before="60"/>
            </w:pPr>
            <w:r>
              <w:rPr>
                <w:rFonts w:ascii="Arial" w:cs="Arial" w:eastAsia="Arial" w:hAnsi="Arial"/>
                <w:color w:val="2F2F2F"/>
                <w:sz w:val="22"/>
                <w:szCs w:val="22"/>
              </w:rPr>
              <w:t xml:space="preserve">The class divides into two groups (Position A vs Position B). Each side has 8 minutes to make their case using examples from their own teaching or learning contexts. A 10-minute open dialogue follows, facilitated by the instructor, who then introduces the concept of 'assessment equity vs assessment equality' as a bridge into the unit content.</w:t>
            </w:r>
          </w:p>
          <w:p>
            <w:pPr>
              <w:spacing w:after="0" w:before="40"/>
            </w:pPr>
            <w:r>
              <w:t xml:space="preserve"/>
            </w:r>
          </w:p>
          <w:p>
            <w:pPr>
              <w:spacing w:after="0" w:before="0"/>
            </w:pPr>
            <w:r>
              <w:rPr>
                <w:rFonts w:ascii="Arial" w:cs="Arial" w:eastAsia="Arial" w:hAnsi="Arial"/>
                <w:b/>
                <w:bCs/>
                <w:color w:val="8A6300"/>
                <w:sz w:val="20"/>
                <w:szCs w:val="20"/>
              </w:rPr>
              <w:t xml:space="preserve">Links to Learning Outcomes: LO1, LO2</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1: </w:t>
            </w:r>
            <w:r>
              <w:rPr>
                <w:rFonts w:ascii="Arial" w:cs="Arial" w:eastAsia="Arial" w:hAnsi="Arial"/>
                <w:color w:val="BDD7EE"/>
                <w:sz w:val="26"/>
                <w:szCs w:val="26"/>
              </w:rPr>
              <w:t xml:space="preserve">Principles of Inclusive Assessment Design</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1.1 Assessment Equity vs Assessment Equality</w:t>
      </w:r>
    </w:p>
    <w:p>
      <w:pPr>
        <w:spacing w:after="80" w:before="60"/>
      </w:pPr>
      <w:r>
        <w:rPr>
          <w:rFonts w:ascii="Arial" w:cs="Arial" w:eastAsia="Arial" w:hAnsi="Arial"/>
          <w:color w:val="2F2F2F"/>
          <w:sz w:val="22"/>
          <w:szCs w:val="22"/>
        </w:rPr>
        <w:t xml:space="preserve">The distinction between equity and equality is fundamental to inclusive assessment design. Equality gives every learner the same assessment conditions. Equity gives every learner the conditions they need to demonstrate their learning fairly. In practice, this means: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2E75B6" w:sz="1"/>
              <w:left w:val="single" w:color="2E75B6" w:sz="1"/>
              <w:bottom w:val="single" w:color="2E75B6" w:sz="1"/>
              <w:right w:val="single" w:color="2E75B6" w:sz="1"/>
            </w:tcBorders>
            <w:shd w:fill="2E75B6"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Assessment Equality</w:t>
            </w:r>
          </w:p>
        </w:tc>
        <w:tc>
          <w:tcPr>
            <w:tcW w:type="dxa" w:w="4680"/>
            <w:tcBorders>
              <w:top w:val="single" w:color="1F9140" w:sz="1"/>
              <w:left w:val="single" w:color="1F9140" w:sz="1"/>
              <w:bottom w:val="single" w:color="1F9140" w:sz="1"/>
              <w:right w:val="single" w:color="1F9140" w:sz="1"/>
            </w:tcBorders>
            <w:shd w:fill="1F9140"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Assessment Equity</w:t>
            </w:r>
          </w:p>
        </w:tc>
      </w:tr>
      <w:tr>
        <w:tc>
          <w:tcPr>
            <w:tcW w:type="dxa" w:w="4680"/>
            <w:tcBorders>
              <w:top w:val="single" w:color="AABDD4" w:sz="1"/>
              <w:left w:val="single" w:color="AABDD4" w:sz="1"/>
              <w:bottom w:val="single" w:color="AABDD4" w:sz="1"/>
              <w:right w:val="single" w:color="AABDD4" w:sz="1"/>
            </w:tcBorders>
            <w:shd w:fill="EEF4FB"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Same format, time limit, and conditions for all learners</w:t>
            </w:r>
          </w:p>
        </w:tc>
        <w:tc>
          <w:tcPr>
            <w:tcW w:type="dxa" w:w="468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Flexible formats, adjusted conditions, and individualised supports where needed</w:t>
            </w:r>
          </w:p>
        </w:tc>
      </w:tr>
      <w:tr>
        <w:tc>
          <w:tcPr>
            <w:tcW w:type="dxa" w:w="46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Privileges learners whose strengths match the dominant assessment format (typically written text under time pressure)</w:t>
            </w:r>
          </w:p>
        </w:tc>
        <w:tc>
          <w:tcPr>
            <w:tcW w:type="dxa" w:w="46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Allows all learners to demonstrate the same learning outcomes through the format that best reflects their abilities</w:t>
            </w:r>
          </w:p>
        </w:tc>
      </w:tr>
      <w:tr>
        <w:tc>
          <w:tcPr>
            <w:tcW w:type="dxa" w:w="4680"/>
            <w:tcBorders>
              <w:top w:val="single" w:color="AABDD4" w:sz="1"/>
              <w:left w:val="single" w:color="AABDD4" w:sz="1"/>
              <w:bottom w:val="single" w:color="AABDD4" w:sz="1"/>
              <w:right w:val="single" w:color="AABDD4" w:sz="1"/>
            </w:tcBorders>
            <w:shd w:fill="EEF4FB"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Can embed systemic disadvantages for disabled, language-diverse, and culturally diverse learners</w:t>
            </w:r>
          </w:p>
        </w:tc>
        <w:tc>
          <w:tcPr>
            <w:tcW w:type="dxa" w:w="4680"/>
            <w:tcBorders>
              <w:top w:val="single" w:color="AABDD4" w:sz="1"/>
              <w:left w:val="single" w:color="AABDD4" w:sz="1"/>
              <w:bottom w:val="single" w:color="AABDD4" w:sz="1"/>
              <w:right w:val="single" w:color="AABDD4" w:sz="1"/>
            </w:tcBorders>
            <w:shd w:fill="E2EFDA"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Removes barriers without compromising the academic standards being assessed</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1.2 How Traditional Assessment Practices Exclude Learners Online</w:t>
      </w:r>
    </w:p>
    <w:p>
      <w:pPr>
        <w:spacing w:after="80" w:before="60"/>
      </w:pPr>
      <w:r>
        <w:rPr>
          <w:rFonts w:ascii="Arial" w:cs="Arial" w:eastAsia="Arial" w:hAnsi="Arial"/>
          <w:color w:val="2F2F2F"/>
          <w:sz w:val="22"/>
          <w:szCs w:val="22"/>
        </w:rPr>
        <w:t xml:space="preserve">Online migration of traditional assessment formats — written exams, timed quizzes, essay submissions — often reproduces and amplifies existing exclusions. Common examples include:</w:t>
      </w:r>
    </w:p>
    <w:p>
      <w:pPr>
        <w:pStyle w:val="ListParagraph"/>
        <w:numPr>
          <w:ilvl w:val="0"/>
          <w:numId w:val="2"/>
        </w:numPr>
        <w:spacing w:after="40" w:before="40"/>
      </w:pPr>
      <w:r>
        <w:rPr>
          <w:rFonts w:ascii="Arial" w:cs="Arial" w:eastAsia="Arial" w:hAnsi="Arial"/>
          <w:b/>
          <w:bCs/>
          <w:color w:val="2F2F2F"/>
          <w:sz w:val="22"/>
          <w:szCs w:val="22"/>
        </w:rPr>
        <w:t xml:space="preserve">Timed online exams: Disadvantage learners with processing speed differences, ADHD, anxiety, or unreliable internet connections (risk of disconnection mid-exam).</w:t>
      </w:r>
    </w:p>
    <w:p>
      <w:pPr>
        <w:pStyle w:val="ListParagraph"/>
        <w:numPr>
          <w:ilvl w:val="0"/>
          <w:numId w:val="2"/>
        </w:numPr>
        <w:spacing w:after="40" w:before="40"/>
      </w:pPr>
      <w:r>
        <w:rPr>
          <w:rFonts w:ascii="Arial" w:cs="Arial" w:eastAsia="Arial" w:hAnsi="Arial"/>
          <w:b/>
          <w:bCs/>
          <w:color w:val="2F2F2F"/>
          <w:sz w:val="22"/>
          <w:szCs w:val="22"/>
        </w:rPr>
        <w:t xml:space="preserve">Text-only submission requirements: Exclude learners with dyslexia, motor disabilities, or strong oral communication skills who could better demonstrate knowledge through alternative formats.</w:t>
      </w:r>
    </w:p>
    <w:p>
      <w:pPr>
        <w:pStyle w:val="ListParagraph"/>
        <w:numPr>
          <w:ilvl w:val="0"/>
          <w:numId w:val="2"/>
        </w:numPr>
        <w:spacing w:after="40" w:before="40"/>
      </w:pPr>
      <w:r>
        <w:rPr>
          <w:rFonts w:ascii="Arial" w:cs="Arial" w:eastAsia="Arial" w:hAnsi="Arial"/>
          <w:b/>
          <w:bCs/>
          <w:color w:val="2F2F2F"/>
          <w:sz w:val="22"/>
          <w:szCs w:val="22"/>
        </w:rPr>
        <w:t xml:space="preserve">Culturally biased examples and case studies: Assessments framed around Western or urban contexts may disadvantage learners from different cultural or geographic backgrounds.</w:t>
      </w:r>
    </w:p>
    <w:p>
      <w:pPr>
        <w:pStyle w:val="ListParagraph"/>
        <w:numPr>
          <w:ilvl w:val="0"/>
          <w:numId w:val="2"/>
        </w:numPr>
        <w:spacing w:after="40" w:before="40"/>
      </w:pPr>
      <w:r>
        <w:rPr>
          <w:rFonts w:ascii="Arial" w:cs="Arial" w:eastAsia="Arial" w:hAnsi="Arial"/>
          <w:b/>
          <w:bCs/>
          <w:color w:val="2F2F2F"/>
          <w:sz w:val="22"/>
          <w:szCs w:val="22"/>
        </w:rPr>
        <w:t xml:space="preserve">Inaccessible submission interfaces: Assignment submission pages that are not screen reader-compatible; file size limits that penalise learners submitting audio/video alternatives.</w:t>
      </w:r>
    </w:p>
    <w:p>
      <w:pPr>
        <w:pStyle w:val="ListParagraph"/>
        <w:numPr>
          <w:ilvl w:val="0"/>
          <w:numId w:val="2"/>
        </w:numPr>
        <w:spacing w:after="40" w:before="40"/>
      </w:pPr>
      <w:r>
        <w:rPr>
          <w:rFonts w:ascii="Arial" w:cs="Arial" w:eastAsia="Arial" w:hAnsi="Arial"/>
          <w:b/>
          <w:bCs/>
          <w:color w:val="2F2F2F"/>
          <w:sz w:val="22"/>
          <w:szCs w:val="22"/>
        </w:rPr>
        <w:t xml:space="preserve">Plagiarism detection without contextual understanding: Automatic plagiarism tools may flag non-native speakers who paraphrase closely due to limited vocabulary range, rather than intent to deceive.</w:t>
      </w:r>
    </w:p>
    <w:p>
      <w:pPr>
        <w:pStyle w:val="ListParagraph"/>
        <w:numPr>
          <w:ilvl w:val="0"/>
          <w:numId w:val="2"/>
        </w:numPr>
        <w:spacing w:after="40" w:before="40"/>
      </w:pPr>
      <w:r>
        <w:rPr>
          <w:rFonts w:ascii="Arial" w:cs="Arial" w:eastAsia="Arial" w:hAnsi="Arial"/>
          <w:b/>
          <w:bCs/>
          <w:color w:val="2F2F2F"/>
          <w:sz w:val="22"/>
          <w:szCs w:val="22"/>
        </w:rPr>
        <w:t xml:space="preserve">Group work without structured roles: Unstructured collaborative assessment disadvantages introverted learners, those in different time zones, and those with communication differences.</w:t>
      </w:r>
    </w:p>
    <w:p>
      <w:pPr>
        <w:spacing w:after="0" w:before="80"/>
      </w:pPr>
      <w:r>
        <w:t xml:space="preserve"/>
      </w:r>
    </w:p>
    <w:p>
      <w:pPr>
        <w:pStyle w:val="Heading3"/>
        <w:spacing w:after="80" w:before="200"/>
      </w:pPr>
      <w:r>
        <w:rPr>
          <w:rFonts w:ascii="Arial" w:cs="Arial" w:eastAsia="Arial" w:hAnsi="Arial"/>
          <w:b/>
          <w:bCs/>
          <w:color w:val="1F4E79"/>
          <w:sz w:val="24"/>
          <w:szCs w:val="24"/>
        </w:rPr>
        <w:t xml:space="preserve">1.3 Principles of Inclusive Assessment</w:t>
      </w:r>
    </w:p>
    <w:p>
      <w:pPr>
        <w:spacing w:after="80" w:before="60"/>
      </w:pPr>
      <w:r>
        <w:rPr>
          <w:rFonts w:ascii="Arial" w:cs="Arial" w:eastAsia="Arial" w:hAnsi="Arial"/>
          <w:color w:val="2F2F2F"/>
          <w:sz w:val="22"/>
          <w:szCs w:val="22"/>
        </w:rPr>
        <w:t xml:space="preserve">Drawing from UDL, assessment equity frameworks, and disability studies, the following seven principles guide inclusive assessment design:</w:t>
      </w:r>
    </w:p>
    <w:p>
      <w:pPr>
        <w:spacing w:after="0" w:before="60"/>
      </w:pPr>
      <w:r>
        <w:t xml:space="preserve"/>
      </w:r>
    </w:p>
    <w:p>
      <w:pPr>
        <w:spacing w:after="20" w:before="60"/>
      </w:pPr>
      <w:r>
        <w:rPr>
          <w:rFonts w:ascii="Arial" w:cs="Arial" w:eastAsia="Arial" w:hAnsi="Arial"/>
          <w:b/>
          <w:bCs/>
          <w:color w:val="1F4E79"/>
          <w:sz w:val="22"/>
          <w:szCs w:val="22"/>
        </w:rPr>
        <w:t xml:space="preserve">Validity first</w:t>
      </w:r>
    </w:p>
    <w:p>
      <w:pPr>
        <w:spacing w:after="60" w:before="0"/>
      </w:pPr>
      <w:r>
        <w:rPr>
          <w:rFonts w:ascii="Arial" w:cs="Arial" w:eastAsia="Arial" w:hAnsi="Arial"/>
          <w:color w:val="2F2F2F"/>
          <w:sz w:val="22"/>
          <w:szCs w:val="22"/>
        </w:rPr>
        <w:t xml:space="preserve">Assess what you intend to assess — not the ability to access a particular format. If the learning outcome is 'analyse a policy document', a written analysis and a recorded verbal analysis both validly assess the outcome.</w:t>
      </w:r>
    </w:p>
    <w:p>
      <w:pPr>
        <w:spacing w:after="20" w:before="60"/>
      </w:pPr>
      <w:r>
        <w:rPr>
          <w:rFonts w:ascii="Arial" w:cs="Arial" w:eastAsia="Arial" w:hAnsi="Arial"/>
          <w:b/>
          <w:bCs/>
          <w:color w:val="1F4E79"/>
          <w:sz w:val="22"/>
          <w:szCs w:val="22"/>
        </w:rPr>
        <w:t xml:space="preserve">Transparency</w:t>
      </w:r>
    </w:p>
    <w:p>
      <w:pPr>
        <w:spacing w:after="60" w:before="0"/>
      </w:pPr>
      <w:r>
        <w:rPr>
          <w:rFonts w:ascii="Arial" w:cs="Arial" w:eastAsia="Arial" w:hAnsi="Arial"/>
          <w:color w:val="2F2F2F"/>
          <w:sz w:val="22"/>
          <w:szCs w:val="22"/>
        </w:rPr>
        <w:t xml:space="preserve">Share all assessment criteria, rubrics, and exemplars at the start of the module. Learners should never be surprised by how they are judged.</w:t>
      </w:r>
    </w:p>
    <w:p>
      <w:pPr>
        <w:spacing w:after="20" w:before="60"/>
      </w:pPr>
      <w:r>
        <w:rPr>
          <w:rFonts w:ascii="Arial" w:cs="Arial" w:eastAsia="Arial" w:hAnsi="Arial"/>
          <w:b/>
          <w:bCs/>
          <w:color w:val="1F4E79"/>
          <w:sz w:val="22"/>
          <w:szCs w:val="22"/>
        </w:rPr>
        <w:t xml:space="preserve">Flexibility without compromise</w:t>
      </w:r>
    </w:p>
    <w:p>
      <w:pPr>
        <w:spacing w:after="60" w:before="0"/>
      </w:pPr>
      <w:r>
        <w:rPr>
          <w:rFonts w:ascii="Arial" w:cs="Arial" w:eastAsia="Arial" w:hAnsi="Arial"/>
          <w:color w:val="2F2F2F"/>
          <w:sz w:val="22"/>
          <w:szCs w:val="22"/>
        </w:rPr>
        <w:t xml:space="preserve">Offer choice in format where possible, anchored in the same learning outcomes. Flexibility in how — not in what — is assessed.</w:t>
      </w:r>
    </w:p>
    <w:p>
      <w:pPr>
        <w:spacing w:after="20" w:before="60"/>
      </w:pPr>
      <w:r>
        <w:rPr>
          <w:rFonts w:ascii="Arial" w:cs="Arial" w:eastAsia="Arial" w:hAnsi="Arial"/>
          <w:b/>
          <w:bCs/>
          <w:color w:val="1F4E79"/>
          <w:sz w:val="22"/>
          <w:szCs w:val="22"/>
        </w:rPr>
        <w:t xml:space="preserve">Proactive reasonable adjustment</w:t>
      </w:r>
    </w:p>
    <w:p>
      <w:pPr>
        <w:spacing w:after="60" w:before="0"/>
      </w:pPr>
      <w:r>
        <w:rPr>
          <w:rFonts w:ascii="Arial" w:cs="Arial" w:eastAsia="Arial" w:hAnsi="Arial"/>
          <w:color w:val="2F2F2F"/>
          <w:sz w:val="22"/>
          <w:szCs w:val="22"/>
        </w:rPr>
        <w:t xml:space="preserve">Build in flexibility by design rather than retrofitting adjustments for individual students after the fact. This reduces stigma and administrative burden.</w:t>
      </w:r>
    </w:p>
    <w:p>
      <w:pPr>
        <w:spacing w:after="20" w:before="60"/>
      </w:pPr>
      <w:r>
        <w:rPr>
          <w:rFonts w:ascii="Arial" w:cs="Arial" w:eastAsia="Arial" w:hAnsi="Arial"/>
          <w:b/>
          <w:bCs/>
          <w:color w:val="1F4E79"/>
          <w:sz w:val="22"/>
          <w:szCs w:val="22"/>
        </w:rPr>
        <w:t xml:space="preserve">Cultural responsiveness</w:t>
      </w:r>
    </w:p>
    <w:p>
      <w:pPr>
        <w:spacing w:after="60" w:before="0"/>
      </w:pPr>
      <w:r>
        <w:rPr>
          <w:rFonts w:ascii="Arial" w:cs="Arial" w:eastAsia="Arial" w:hAnsi="Arial"/>
          <w:color w:val="2F2F2F"/>
          <w:sz w:val="22"/>
          <w:szCs w:val="22"/>
        </w:rPr>
        <w:t xml:space="preserve">Use examples, contexts, and scenarios that are accessible and relevant to a diverse cohort. Avoid idioms, cultural references, or contexts that assume a particular background.</w:t>
      </w:r>
    </w:p>
    <w:p>
      <w:pPr>
        <w:spacing w:after="20" w:before="60"/>
      </w:pPr>
      <w:r>
        <w:rPr>
          <w:rFonts w:ascii="Arial" w:cs="Arial" w:eastAsia="Arial" w:hAnsi="Arial"/>
          <w:b/>
          <w:bCs/>
          <w:color w:val="1F4E79"/>
          <w:sz w:val="22"/>
          <w:szCs w:val="22"/>
        </w:rPr>
        <w:t xml:space="preserve">Staged and formative</w:t>
      </w:r>
    </w:p>
    <w:p>
      <w:pPr>
        <w:spacing w:after="60" w:before="0"/>
      </w:pPr>
      <w:r>
        <w:rPr>
          <w:rFonts w:ascii="Arial" w:cs="Arial" w:eastAsia="Arial" w:hAnsi="Arial"/>
          <w:color w:val="2F2F2F"/>
          <w:sz w:val="22"/>
          <w:szCs w:val="22"/>
        </w:rPr>
        <w:t xml:space="preserve">Break large assessments into smaller, staged tasks with formative feedback at each stage. This scaffolds learning, reduces anxiety, and surfaces misunderstandings early.</w:t>
      </w:r>
    </w:p>
    <w:p>
      <w:pPr>
        <w:spacing w:after="20" w:before="60"/>
      </w:pPr>
      <w:r>
        <w:rPr>
          <w:rFonts w:ascii="Arial" w:cs="Arial" w:eastAsia="Arial" w:hAnsi="Arial"/>
          <w:b/>
          <w:bCs/>
          <w:color w:val="1F4E79"/>
          <w:sz w:val="22"/>
          <w:szCs w:val="22"/>
        </w:rPr>
        <w:t xml:space="preserve">Accessible instruments</w:t>
      </w:r>
    </w:p>
    <w:p>
      <w:pPr>
        <w:spacing w:after="60" w:before="0"/>
      </w:pPr>
      <w:r>
        <w:rPr>
          <w:rFonts w:ascii="Arial" w:cs="Arial" w:eastAsia="Arial" w:hAnsi="Arial"/>
          <w:color w:val="2F2F2F"/>
          <w:sz w:val="22"/>
          <w:szCs w:val="22"/>
        </w:rPr>
        <w:t xml:space="preserve">Ensure assessment briefs, rubrics, submission interfaces, and feedback are all designed accessibly — applying the document and multimedia principles from Unit 4.</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2: </w:t>
            </w:r>
            <w:r>
              <w:rPr>
                <w:rFonts w:ascii="Arial" w:cs="Arial" w:eastAsia="Arial" w:hAnsi="Arial"/>
                <w:color w:val="BDD7EE"/>
                <w:sz w:val="26"/>
                <w:szCs w:val="26"/>
              </w:rPr>
              <w:t xml:space="preserve">Designing Inclusive Assessment Tasks</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2.1 Flexible Assessment Formats: The Choice Menu</w:t>
      </w:r>
    </w:p>
    <w:p>
      <w:pPr>
        <w:spacing w:after="80" w:before="60"/>
      </w:pPr>
      <w:r>
        <w:rPr>
          <w:rFonts w:ascii="Arial" w:cs="Arial" w:eastAsia="Arial" w:hAnsi="Arial"/>
          <w:color w:val="2F2F2F"/>
          <w:sz w:val="22"/>
          <w:szCs w:val="22"/>
        </w:rPr>
        <w:t xml:space="preserve">A powerful inclusive assessment strategy is the Choice Menu — offering learners two or three alternative formats for demonstrating the same learning outcome. All options are assessed against the same criteria (the rubric does not change); only the medium of expression changes. Examples: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080"/>
        <w:gridCol w:w="2080"/>
        <w:gridCol w:w="2400"/>
      </w:tblGrid>
      <w:tr>
        <w:tc>
          <w:tcPr>
            <w:tcW w:type="dxa" w:w="280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Learning Outcome</w:t>
            </w:r>
          </w:p>
        </w:tc>
        <w:tc>
          <w:tcPr>
            <w:tcW w:type="dxa" w:w="20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Option A</w:t>
            </w:r>
          </w:p>
        </w:tc>
        <w:tc>
          <w:tcPr>
            <w:tcW w:type="dxa" w:w="20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Option B</w:t>
            </w:r>
          </w:p>
        </w:tc>
        <w:tc>
          <w:tcPr>
            <w:tcW w:type="dxa" w:w="240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Option C</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Critically evaluate an inclusive e-learning design framework</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Written critical essay (2,500 words)</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Narrated slide presentation (15 minutes) with written notes</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Annotated bibliography + reflective commentary (1,500 words)</w:t>
            </w:r>
          </w:p>
        </w:tc>
      </w:tr>
      <w:tr>
        <w:tc>
          <w:tcPr>
            <w:tcW w:type="dxa" w:w="28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Design an inclusive online learning activity</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Moodle-based H5P activity with written design rationale</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Storyboard and lesson plan document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Screen-recorded walkthrough of a designed Moodle unit with verbal commentary</w:t>
            </w:r>
          </w:p>
        </w:tc>
      </w:tr>
      <w:tr>
        <w:tc>
          <w:tcPr>
            <w:tcW w:type="dxa" w:w="28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Analyse barriers to digital access in a specific context</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Written analytical report (1,800 words)</w:t>
            </w:r>
          </w:p>
        </w:tc>
        <w:tc>
          <w:tcPr>
            <w:tcW w:type="dxa" w:w="20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Podcast episode (15 minutes) with transcript</w:t>
            </w:r>
          </w:p>
        </w:tc>
        <w:tc>
          <w:tcPr>
            <w:tcW w:type="dxa" w:w="240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Infographic series (5 panels) with extended captions</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2.2 Designing Inclusive Group Assessments Online</w:t>
      </w:r>
    </w:p>
    <w:p>
      <w:pPr>
        <w:spacing w:after="80" w:before="60"/>
      </w:pPr>
      <w:r>
        <w:rPr>
          <w:rFonts w:ascii="Arial" w:cs="Arial" w:eastAsia="Arial" w:hAnsi="Arial"/>
          <w:color w:val="2F2F2F"/>
          <w:sz w:val="22"/>
          <w:szCs w:val="22"/>
        </w:rPr>
        <w:t xml:space="preserve">Collaborative assessment can develop important graduate attributes — but poorly designed group work disadvantages many learners. Inclusive group assessment design principles:</w:t>
      </w:r>
    </w:p>
    <w:p>
      <w:pPr>
        <w:pStyle w:val="ListParagraph"/>
        <w:numPr>
          <w:ilvl w:val="0"/>
          <w:numId w:val="2"/>
        </w:numPr>
        <w:spacing w:after="40" w:before="40"/>
      </w:pPr>
      <w:r>
        <w:rPr>
          <w:rFonts w:ascii="Arial" w:cs="Arial" w:eastAsia="Arial" w:hAnsi="Arial"/>
          <w:b/>
          <w:bCs/>
          <w:color w:val="2F2F2F"/>
          <w:sz w:val="22"/>
          <w:szCs w:val="22"/>
        </w:rPr>
        <w:t xml:space="preserve">Assign structured roles: Define clear, rotating roles (e.g. coordinator, researcher, writer, reviewer) so that all members contribute meaningfully and the group does not default to the most dominant voice.</w:t>
      </w:r>
    </w:p>
    <w:p>
      <w:pPr>
        <w:pStyle w:val="ListParagraph"/>
        <w:numPr>
          <w:ilvl w:val="0"/>
          <w:numId w:val="2"/>
        </w:numPr>
        <w:spacing w:after="40" w:before="40"/>
      </w:pPr>
      <w:r>
        <w:rPr>
          <w:rFonts w:ascii="Arial" w:cs="Arial" w:eastAsia="Arial" w:hAnsi="Arial"/>
          <w:b/>
          <w:bCs/>
          <w:color w:val="2F2F2F"/>
          <w:sz w:val="22"/>
          <w:szCs w:val="22"/>
        </w:rPr>
        <w:t xml:space="preserve">Allow asynchronous collaboration: Not all learners can attend synchronous meetings. Design group tasks that can be completed asynchronously through shared documents and discussion forums.</w:t>
      </w:r>
    </w:p>
    <w:p>
      <w:pPr>
        <w:pStyle w:val="ListParagraph"/>
        <w:numPr>
          <w:ilvl w:val="0"/>
          <w:numId w:val="2"/>
        </w:numPr>
        <w:spacing w:after="40" w:before="40"/>
      </w:pPr>
      <w:r>
        <w:rPr>
          <w:rFonts w:ascii="Arial" w:cs="Arial" w:eastAsia="Arial" w:hAnsi="Arial"/>
          <w:b/>
          <w:bCs/>
          <w:color w:val="2F2F2F"/>
          <w:sz w:val="22"/>
          <w:szCs w:val="22"/>
        </w:rPr>
        <w:t xml:space="preserve">Include individual accountability: Require an individual Contribution Statement alongside the group submission, where each member reflects on their own role and contribution.</w:t>
      </w:r>
    </w:p>
    <w:p>
      <w:pPr>
        <w:pStyle w:val="ListParagraph"/>
        <w:numPr>
          <w:ilvl w:val="0"/>
          <w:numId w:val="2"/>
        </w:numPr>
        <w:spacing w:after="40" w:before="40"/>
      </w:pPr>
      <w:r>
        <w:rPr>
          <w:rFonts w:ascii="Arial" w:cs="Arial" w:eastAsia="Arial" w:hAnsi="Arial"/>
          <w:b/>
          <w:bCs/>
          <w:color w:val="2F2F2F"/>
          <w:sz w:val="22"/>
          <w:szCs w:val="22"/>
        </w:rPr>
        <w:t xml:space="preserve">Provide a conflict resolution protocol: Include guidance on what to do if a group member is not contributing or if the group disagrees — this reduces anxiety for neurodivergent learners and those with communication differences.</w:t>
      </w:r>
    </w:p>
    <w:p>
      <w:pPr>
        <w:pStyle w:val="ListParagraph"/>
        <w:numPr>
          <w:ilvl w:val="0"/>
          <w:numId w:val="2"/>
        </w:numPr>
        <w:spacing w:after="40" w:before="40"/>
      </w:pPr>
      <w:r>
        <w:rPr>
          <w:rFonts w:ascii="Arial" w:cs="Arial" w:eastAsia="Arial" w:hAnsi="Arial"/>
          <w:b/>
          <w:bCs/>
          <w:color w:val="2F2F2F"/>
          <w:sz w:val="22"/>
          <w:szCs w:val="22"/>
        </w:rPr>
        <w:t xml:space="preserve">Assess process as well as product: Award marks for the quality of the collaborative process (peer evaluation, reflection) not just the final output.</w:t>
      </w:r>
    </w:p>
    <w:p>
      <w:pPr>
        <w:spacing w:after="0" w:before="80"/>
      </w:pPr>
      <w:r>
        <w:t xml:space="preserve"/>
      </w:r>
    </w:p>
    <w:p>
      <w:pPr>
        <w:pStyle w:val="Heading3"/>
        <w:spacing w:after="80" w:before="200"/>
      </w:pPr>
      <w:r>
        <w:rPr>
          <w:rFonts w:ascii="Arial" w:cs="Arial" w:eastAsia="Arial" w:hAnsi="Arial"/>
          <w:b/>
          <w:bCs/>
          <w:color w:val="1F4E79"/>
          <w:sz w:val="24"/>
          <w:szCs w:val="24"/>
        </w:rPr>
        <w:t xml:space="preserve">2.3 Inclusive Quiz and Formative Assessment Design</w:t>
      </w:r>
    </w:p>
    <w:p>
      <w:pPr>
        <w:pStyle w:val="ListParagraph"/>
        <w:numPr>
          <w:ilvl w:val="0"/>
          <w:numId w:val="2"/>
        </w:numPr>
        <w:spacing w:after="40" w:before="40"/>
      </w:pPr>
      <w:r>
        <w:rPr>
          <w:rFonts w:ascii="Arial" w:cs="Arial" w:eastAsia="Arial" w:hAnsi="Arial"/>
          <w:b/>
          <w:bCs/>
          <w:color w:val="2F2F2F"/>
          <w:sz w:val="22"/>
          <w:szCs w:val="22"/>
        </w:rPr>
        <w:t xml:space="preserve">Offer multiple attempts: Allow at least 2–3 attempts on formative Moodle quizzes. This reduces high-stakes anxiety and supports learning from mistakes.</w:t>
      </w:r>
    </w:p>
    <w:p>
      <w:pPr>
        <w:pStyle w:val="ListParagraph"/>
        <w:numPr>
          <w:ilvl w:val="0"/>
          <w:numId w:val="2"/>
        </w:numPr>
        <w:spacing w:after="40" w:before="40"/>
      </w:pPr>
      <w:r>
        <w:rPr>
          <w:rFonts w:ascii="Arial" w:cs="Arial" w:eastAsia="Arial" w:hAnsi="Arial"/>
          <w:b/>
          <w:bCs/>
          <w:color w:val="2F2F2F"/>
          <w:sz w:val="22"/>
          <w:szCs w:val="22"/>
        </w:rPr>
        <w:t xml:space="preserve">Remove time limits for formative quizzes: Time pressure measures processing speed, not knowledge. For formative assessment, remove or significantly extend time limits.</w:t>
      </w:r>
    </w:p>
    <w:p>
      <w:pPr>
        <w:pStyle w:val="ListParagraph"/>
        <w:numPr>
          <w:ilvl w:val="0"/>
          <w:numId w:val="2"/>
        </w:numPr>
        <w:spacing w:after="40" w:before="40"/>
      </w:pPr>
      <w:r>
        <w:rPr>
          <w:rFonts w:ascii="Arial" w:cs="Arial" w:eastAsia="Arial" w:hAnsi="Arial"/>
          <w:b/>
          <w:bCs/>
          <w:color w:val="2F2F2F"/>
          <w:sz w:val="22"/>
          <w:szCs w:val="22"/>
        </w:rPr>
        <w:t xml:space="preserve">Vary question types: Use a mix of multiple choice, short answer, matching, and drag-and-drop (noting accessibility limitations of the latter). Avoid question types that rely on colour-based distinctions.</w:t>
      </w:r>
    </w:p>
    <w:p>
      <w:pPr>
        <w:pStyle w:val="ListParagraph"/>
        <w:numPr>
          <w:ilvl w:val="0"/>
          <w:numId w:val="2"/>
        </w:numPr>
        <w:spacing w:after="40" w:before="40"/>
      </w:pPr>
      <w:r>
        <w:rPr>
          <w:rFonts w:ascii="Arial" w:cs="Arial" w:eastAsia="Arial" w:hAnsi="Arial"/>
          <w:b/>
          <w:bCs/>
          <w:color w:val="2F2F2F"/>
          <w:sz w:val="22"/>
          <w:szCs w:val="22"/>
        </w:rPr>
        <w:t xml:space="preserve">Provide immediate, specific feedback: Configure Moodle quizzes to show correct answers and explanatory feedback immediately after submission for formative quizzes.</w:t>
      </w:r>
    </w:p>
    <w:p>
      <w:pPr>
        <w:pStyle w:val="ListParagraph"/>
        <w:numPr>
          <w:ilvl w:val="0"/>
          <w:numId w:val="2"/>
        </w:numPr>
        <w:spacing w:after="40" w:before="40"/>
      </w:pPr>
      <w:r>
        <w:rPr>
          <w:rFonts w:ascii="Arial" w:cs="Arial" w:eastAsia="Arial" w:hAnsi="Arial"/>
          <w:b/>
          <w:bCs/>
          <w:color w:val="2F2F2F"/>
          <w:sz w:val="22"/>
          <w:szCs w:val="22"/>
        </w:rPr>
        <w:t xml:space="preserve">Use low-stakes quizzes as learning tools: Frame quizzes explicitly as learning activities, not judgement — this psychological repositioning reduces anxiety and increases engagement.</w:t>
      </w:r>
    </w:p>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3: </w:t>
            </w:r>
            <w:r>
              <w:rPr>
                <w:rFonts w:ascii="Arial" w:cs="Arial" w:eastAsia="Arial" w:hAnsi="Arial"/>
                <w:color w:val="BDD7EE"/>
                <w:sz w:val="26"/>
                <w:szCs w:val="26"/>
              </w:rPr>
              <w:t xml:space="preserve">Accessible Assessment Instruments</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3.1 Writing Accessible Assessment Briefs</w:t>
      </w:r>
    </w:p>
    <w:p>
      <w:pPr>
        <w:spacing w:after="80" w:before="60"/>
      </w:pPr>
      <w:r>
        <w:rPr>
          <w:rFonts w:ascii="Arial" w:cs="Arial" w:eastAsia="Arial" w:hAnsi="Arial"/>
          <w:color w:val="2F2F2F"/>
          <w:sz w:val="22"/>
          <w:szCs w:val="22"/>
        </w:rPr>
        <w:t xml:space="preserve">The assessment brief is often the first point of exclusion. Complex, lengthy, jargon-heavy briefs create barriers before learners have even begun the task. Principles for accessible assessment briefs:</w:t>
      </w:r>
    </w:p>
    <w:p>
      <w:pPr>
        <w:pStyle w:val="ListParagraph"/>
        <w:numPr>
          <w:ilvl w:val="0"/>
          <w:numId w:val="2"/>
        </w:numPr>
        <w:spacing w:after="40" w:before="40"/>
      </w:pPr>
      <w:r>
        <w:rPr>
          <w:rFonts w:ascii="Arial" w:cs="Arial" w:eastAsia="Arial" w:hAnsi="Arial"/>
          <w:b/>
          <w:bCs/>
          <w:color w:val="2F2F2F"/>
          <w:sz w:val="22"/>
          <w:szCs w:val="22"/>
        </w:rPr>
        <w:t xml:space="preserve">Plain language: Write in clear, direct language. Aim for no more than Grade 12 reading level for the instructions (the task itself may require higher-level academic work).</w:t>
      </w:r>
    </w:p>
    <w:p>
      <w:pPr>
        <w:pStyle w:val="ListParagraph"/>
        <w:numPr>
          <w:ilvl w:val="0"/>
          <w:numId w:val="2"/>
        </w:numPr>
        <w:spacing w:after="40" w:before="40"/>
      </w:pPr>
      <w:r>
        <w:rPr>
          <w:rFonts w:ascii="Arial" w:cs="Arial" w:eastAsia="Arial" w:hAnsi="Arial"/>
          <w:b/>
          <w:bCs/>
          <w:color w:val="2F2F2F"/>
          <w:sz w:val="22"/>
          <w:szCs w:val="22"/>
        </w:rPr>
        <w:t xml:space="preserve">Structured format: Use numbered headings for each section (Task Overview, Learning Outcomes Assessed, Format Requirements, Submission Instructions, Grading Criteria).</w:t>
      </w:r>
    </w:p>
    <w:p>
      <w:pPr>
        <w:pStyle w:val="ListParagraph"/>
        <w:numPr>
          <w:ilvl w:val="0"/>
          <w:numId w:val="2"/>
        </w:numPr>
        <w:spacing w:after="40" w:before="40"/>
      </w:pPr>
      <w:r>
        <w:rPr>
          <w:rFonts w:ascii="Arial" w:cs="Arial" w:eastAsia="Arial" w:hAnsi="Arial"/>
          <w:b/>
          <w:bCs/>
          <w:color w:val="2F2F2F"/>
          <w:sz w:val="22"/>
          <w:szCs w:val="22"/>
        </w:rPr>
        <w:t xml:space="preserve">Explicit format requirements: State word count (or equivalent for alternative formats), file type, file naming convention, submission method, and deadline in a clear, bullet-pointed list.</w:t>
      </w:r>
    </w:p>
    <w:p>
      <w:pPr>
        <w:pStyle w:val="ListParagraph"/>
        <w:numPr>
          <w:ilvl w:val="0"/>
          <w:numId w:val="2"/>
        </w:numPr>
        <w:spacing w:after="40" w:before="40"/>
      </w:pPr>
      <w:r>
        <w:rPr>
          <w:rFonts w:ascii="Arial" w:cs="Arial" w:eastAsia="Arial" w:hAnsi="Arial"/>
          <w:b/>
          <w:bCs/>
          <w:color w:val="2F2F2F"/>
          <w:sz w:val="22"/>
          <w:szCs w:val="22"/>
        </w:rPr>
        <w:t xml:space="preserve">Link to the rubric: Always include the marking rubric within the assessment brief itself — not as a separate download that learners may miss.</w:t>
      </w:r>
    </w:p>
    <w:p>
      <w:pPr>
        <w:pStyle w:val="ListParagraph"/>
        <w:numPr>
          <w:ilvl w:val="0"/>
          <w:numId w:val="2"/>
        </w:numPr>
        <w:spacing w:after="40" w:before="40"/>
      </w:pPr>
      <w:r>
        <w:rPr>
          <w:rFonts w:ascii="Arial" w:cs="Arial" w:eastAsia="Arial" w:hAnsi="Arial"/>
          <w:b/>
          <w:bCs/>
          <w:color w:val="2F2F2F"/>
          <w:sz w:val="22"/>
          <w:szCs w:val="22"/>
        </w:rPr>
        <w:t xml:space="preserve">Provide a worked example: For complex tasks, include an anonymised model submission (with examiner commentary) to illustrate expectations.</w:t>
      </w:r>
    </w:p>
    <w:p>
      <w:pPr>
        <w:pStyle w:val="ListParagraph"/>
        <w:numPr>
          <w:ilvl w:val="0"/>
          <w:numId w:val="2"/>
        </w:numPr>
        <w:spacing w:after="40" w:before="40"/>
      </w:pPr>
      <w:r>
        <w:rPr>
          <w:rFonts w:ascii="Arial" w:cs="Arial" w:eastAsia="Arial" w:hAnsi="Arial"/>
          <w:b/>
          <w:bCs/>
          <w:color w:val="2F2F2F"/>
          <w:sz w:val="22"/>
          <w:szCs w:val="22"/>
        </w:rPr>
        <w:t xml:space="preserve">Apply document accessibility standards: Use the accessible document design principles from Unit 4 — tagged PDF, heading structure, accessible font, sufficient contrast.</w:t>
      </w:r>
    </w:p>
    <w:p>
      <w:pPr>
        <w:spacing w:after="0" w:before="80"/>
      </w:pPr>
      <w:r>
        <w:t xml:space="preserve"/>
      </w:r>
    </w:p>
    <w:p>
      <w:pPr>
        <w:pStyle w:val="Heading3"/>
        <w:spacing w:after="80" w:before="200"/>
      </w:pPr>
      <w:r>
        <w:rPr>
          <w:rFonts w:ascii="Arial" w:cs="Arial" w:eastAsia="Arial" w:hAnsi="Arial"/>
          <w:b/>
          <w:bCs/>
          <w:color w:val="1F4E79"/>
          <w:sz w:val="24"/>
          <w:szCs w:val="24"/>
        </w:rPr>
        <w:t xml:space="preserve">3.2 Designing Inclusive Rubrics</w:t>
      </w:r>
    </w:p>
    <w:p>
      <w:pPr>
        <w:spacing w:after="80" w:before="60"/>
      </w:pPr>
      <w:r>
        <w:rPr>
          <w:rFonts w:ascii="Arial" w:cs="Arial" w:eastAsia="Arial" w:hAnsi="Arial"/>
          <w:color w:val="2F2F2F"/>
          <w:sz w:val="22"/>
          <w:szCs w:val="22"/>
        </w:rPr>
        <w:t xml:space="preserve">A well-designed rubric is one of the most powerful tools for inclusive assessment — it makes the 'hidden curriculum' of academic expectations visible to all learners. Inclusive rubric design principles:</w:t>
      </w:r>
    </w:p>
    <w:p>
      <w:pPr>
        <w:pStyle w:val="ListParagraph"/>
        <w:numPr>
          <w:ilvl w:val="0"/>
          <w:numId w:val="2"/>
        </w:numPr>
        <w:spacing w:after="40" w:before="40"/>
      </w:pPr>
      <w:r>
        <w:rPr>
          <w:rFonts w:ascii="Arial" w:cs="Arial" w:eastAsia="Arial" w:hAnsi="Arial"/>
          <w:b/>
          <w:bCs/>
          <w:color w:val="2F2F2F"/>
          <w:sz w:val="22"/>
          <w:szCs w:val="22"/>
        </w:rPr>
        <w:t xml:space="preserve">Assess the learning outcome, not the format: Rubric criteria should be written to be format-neutral wherever possible. 'Demonstrates critical analysis' can be evidenced in a written essay, a presentation, or a podcast.</w:t>
      </w:r>
    </w:p>
    <w:p>
      <w:pPr>
        <w:pStyle w:val="ListParagraph"/>
        <w:numPr>
          <w:ilvl w:val="0"/>
          <w:numId w:val="2"/>
        </w:numPr>
        <w:spacing w:after="40" w:before="40"/>
      </w:pPr>
      <w:r>
        <w:rPr>
          <w:rFonts w:ascii="Arial" w:cs="Arial" w:eastAsia="Arial" w:hAnsi="Arial"/>
          <w:b/>
          <w:bCs/>
          <w:color w:val="2F2F2F"/>
          <w:sz w:val="22"/>
          <w:szCs w:val="22"/>
        </w:rPr>
        <w:t xml:space="preserve">Use plain, unambiguous language: Avoid vague descriptors (e.g. 'good understanding'). Use specific, observable descriptions (e.g. 'identifies three or more relevant theoretical frameworks and explains their relationship to the design problem').</w:t>
      </w:r>
    </w:p>
    <w:p>
      <w:pPr>
        <w:pStyle w:val="ListParagraph"/>
        <w:numPr>
          <w:ilvl w:val="0"/>
          <w:numId w:val="2"/>
        </w:numPr>
        <w:spacing w:after="40" w:before="40"/>
      </w:pPr>
      <w:r>
        <w:rPr>
          <w:rFonts w:ascii="Arial" w:cs="Arial" w:eastAsia="Arial" w:hAnsi="Arial"/>
          <w:b/>
          <w:bCs/>
          <w:color w:val="2F2F2F"/>
          <w:sz w:val="22"/>
          <w:szCs w:val="22"/>
        </w:rPr>
        <w:t xml:space="preserve">Provide examples: Where possible, link each rubric level descriptor to a specific example (a sentence or short excerpt) from model responses.</w:t>
      </w:r>
    </w:p>
    <w:p>
      <w:pPr>
        <w:pStyle w:val="ListParagraph"/>
        <w:numPr>
          <w:ilvl w:val="0"/>
          <w:numId w:val="2"/>
        </w:numPr>
        <w:spacing w:after="40" w:before="40"/>
      </w:pPr>
      <w:r>
        <w:rPr>
          <w:rFonts w:ascii="Arial" w:cs="Arial" w:eastAsia="Arial" w:hAnsi="Arial"/>
          <w:b/>
          <w:bCs/>
          <w:color w:val="2F2F2F"/>
          <w:sz w:val="22"/>
          <w:szCs w:val="22"/>
        </w:rPr>
        <w:t xml:space="preserve">Share rubrics before submission: Post the rubric at the start of the assessment period, and refer to it explicitly in pre-submission guidance sessions.</w:t>
      </w:r>
    </w:p>
    <w:p>
      <w:pPr>
        <w:pStyle w:val="ListParagraph"/>
        <w:numPr>
          <w:ilvl w:val="0"/>
          <w:numId w:val="2"/>
        </w:numPr>
        <w:spacing w:after="40" w:before="40"/>
      </w:pPr>
      <w:r>
        <w:rPr>
          <w:rFonts w:ascii="Arial" w:cs="Arial" w:eastAsia="Arial" w:hAnsi="Arial"/>
          <w:b/>
          <w:bCs/>
          <w:color w:val="2F2F2F"/>
          <w:sz w:val="22"/>
          <w:szCs w:val="22"/>
        </w:rPr>
        <w:t xml:space="preserve">Include self-assessment against the rubric: Ask learners to self-assess their work against the rubric before submission — this develops evaluative skills and reduces misaligned expectations.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1"/>
              <w:left w:val="single" w:color="2E75B6" w:sz="1"/>
              <w:bottom w:val="single" w:color="2E75B6" w:sz="1"/>
              <w:right w:val="single" w:color="2E75B6" w:sz="1"/>
            </w:tcBorders>
            <w:shd w:fill="EEF4FB" w:val="clear"/>
            <w:tcMar>
              <w:top w:type="dxa" w:w="160"/>
              <w:left w:type="dxa" w:w="200"/>
              <w:bottom w:type="dxa" w:w="160"/>
              <w:right w:type="dxa" w:w="200"/>
            </w:tcMar>
          </w:tcPr>
          <w:p>
            <w:pPr>
              <w:spacing w:after="80" w:before="0"/>
            </w:pPr>
            <w:r>
              <w:rPr>
                <w:rFonts w:ascii="Arial" w:cs="Arial" w:eastAsia="Arial" w:hAnsi="Arial"/>
                <w:b/>
                <w:bCs/>
                <w:color w:val="1F4E79"/>
                <w:sz w:val="22"/>
                <w:szCs w:val="22"/>
              </w:rPr>
              <w:t xml:space="preserve">Sample Inclusive Rubric Criterion — 'Critical Analysis' (3-level)</w:t>
            </w:r>
          </w:p>
          <w:p>
            <w:pPr>
              <w:spacing w:after="60" w:before="0"/>
            </w:pPr>
            <w:r>
              <w:rPr>
                <w:rFonts w:ascii="Arial" w:cs="Arial" w:eastAsia="Arial" w:hAnsi="Arial"/>
                <w:b/>
                <w:bCs/>
                <w:color w:val="C00000"/>
                <w:sz w:val="21"/>
                <w:szCs w:val="21"/>
              </w:rPr>
              <w:t xml:space="preserve">Below Expectations: </w:t>
            </w:r>
            <w:r>
              <w:rPr>
                <w:rFonts w:ascii="Arial" w:cs="Arial" w:eastAsia="Arial" w:hAnsi="Arial"/>
                <w:color w:val="2F2F2F"/>
                <w:sz w:val="21"/>
                <w:szCs w:val="21"/>
              </w:rPr>
              <w:t xml:space="preserve">The response summarises sources without evaluating them. Arguments are asserted without evidence. Little or no connection is made between the theoretical frameworks discussed and the design problem.</w:t>
            </w:r>
          </w:p>
          <w:p>
            <w:pPr>
              <w:spacing w:after="60" w:before="0"/>
            </w:pPr>
            <w:r>
              <w:rPr>
                <w:rFonts w:ascii="Arial" w:cs="Arial" w:eastAsia="Arial" w:hAnsi="Arial"/>
                <w:b/>
                <w:bCs/>
                <w:color w:val="F0A500"/>
                <w:sz w:val="21"/>
                <w:szCs w:val="21"/>
              </w:rPr>
              <w:t xml:space="preserve">Meeting Expectations: </w:t>
            </w:r>
            <w:r>
              <w:rPr>
                <w:rFonts w:ascii="Arial" w:cs="Arial" w:eastAsia="Arial" w:hAnsi="Arial"/>
                <w:color w:val="2F2F2F"/>
                <w:sz w:val="21"/>
                <w:szCs w:val="21"/>
              </w:rPr>
              <w:t xml:space="preserve">The response analyses at least two relevant frameworks, comparing their strengths and limitations. Evidence from literature is used to support most claims. Some connections are made between theory and the design problem.</w:t>
            </w:r>
          </w:p>
          <w:p>
            <w:pPr>
              <w:spacing w:after="0" w:before="0"/>
            </w:pPr>
            <w:r>
              <w:rPr>
                <w:rFonts w:ascii="Arial" w:cs="Arial" w:eastAsia="Arial" w:hAnsi="Arial"/>
                <w:b/>
                <w:bCs/>
                <w:color w:val="1F9140"/>
                <w:sz w:val="21"/>
                <w:szCs w:val="21"/>
              </w:rPr>
              <w:t xml:space="preserve">Exceeding Expectations: </w:t>
            </w:r>
            <w:r>
              <w:rPr>
                <w:rFonts w:ascii="Arial" w:cs="Arial" w:eastAsia="Arial" w:hAnsi="Arial"/>
                <w:color w:val="2F2F2F"/>
                <w:sz w:val="21"/>
                <w:szCs w:val="21"/>
              </w:rPr>
              <w:t xml:space="preserve">The response critically evaluates three or more frameworks, explicitly weighing competing arguments and acknowledging contextual limitations. All claims are evidence-based. Nuanced, original connections are drawn between theory, evidence, and the specific design challenge.</w:t>
            </w:r>
          </w:p>
        </w:tc>
      </w:tr>
    </w:tbl>
    <w:p>
      <w:pPr>
        <w:spacing w:after="0" w:before="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4E79" w:sz="1"/>
              <w:left w:val="single" w:color="1F4E79" w:sz="1"/>
              <w:bottom w:val="single" w:color="1F4E79" w:sz="1"/>
              <w:right w:val="single" w:color="1F4E79" w:sz="1"/>
            </w:tcBorders>
            <w:shd w:fill="1F4E79" w:val="clear"/>
            <w:tcMar>
              <w:top w:type="dxa" w:w="120"/>
              <w:left w:type="dxa" w:w="200"/>
              <w:bottom w:type="dxa" w:w="120"/>
              <w:right w:type="dxa" w:w="200"/>
            </w:tcMar>
          </w:tcPr>
          <w:p>
            <w:r>
              <w:rPr>
                <w:rFonts w:ascii="Arial" w:cs="Arial" w:eastAsia="Arial" w:hAnsi="Arial"/>
                <w:b/>
                <w:bCs/>
                <w:color w:val="FFFFFF"/>
                <w:sz w:val="26"/>
                <w:szCs w:val="26"/>
              </w:rPr>
              <w:t xml:space="preserve">Section 4: </w:t>
            </w:r>
            <w:r>
              <w:rPr>
                <w:rFonts w:ascii="Arial" w:cs="Arial" w:eastAsia="Arial" w:hAnsi="Arial"/>
                <w:color w:val="BDD7EE"/>
                <w:sz w:val="26"/>
                <w:szCs w:val="26"/>
              </w:rPr>
              <w:t xml:space="preserve">E-Feedback: Strategies, Tools, and Inclusive Practice</w:t>
            </w:r>
          </w:p>
        </w:tc>
      </w:tr>
    </w:tbl>
    <w:p>
      <w:pPr>
        <w:spacing w:after="0" w:before="100"/>
      </w:pPr>
      <w:r>
        <w:t xml:space="preserve"/>
      </w:r>
    </w:p>
    <w:p>
      <w:pPr>
        <w:pStyle w:val="Heading3"/>
        <w:spacing w:after="80" w:before="200"/>
      </w:pPr>
      <w:r>
        <w:rPr>
          <w:rFonts w:ascii="Arial" w:cs="Arial" w:eastAsia="Arial" w:hAnsi="Arial"/>
          <w:b/>
          <w:bCs/>
          <w:color w:val="1F4E79"/>
          <w:sz w:val="24"/>
          <w:szCs w:val="24"/>
        </w:rPr>
        <w:t xml:space="preserve">4.1 What Makes Feedback Inclusive?</w:t>
      </w:r>
    </w:p>
    <w:p>
      <w:pPr>
        <w:spacing w:after="80" w:before="60"/>
      </w:pPr>
      <w:r>
        <w:rPr>
          <w:rFonts w:ascii="Arial" w:cs="Arial" w:eastAsia="Arial" w:hAnsi="Arial"/>
          <w:color w:val="2F2F2F"/>
          <w:sz w:val="22"/>
          <w:szCs w:val="22"/>
        </w:rPr>
        <w:t xml:space="preserve">Feedback is only effective if learners can access, understand, and act on it. In online learning contexts, feedback faces additional barriers: it is often text-only, delayed, generic, and inaccessible to learners using screen readers or who struggle with academic written English. Inclusive e-feedback is:</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Quality</w:t>
            </w:r>
          </w:p>
        </w:tc>
        <w:tc>
          <w:tcPr>
            <w:tcW w:type="dxa" w:w="34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What It Means</w:t>
            </w:r>
          </w:p>
        </w:tc>
        <w:tc>
          <w:tcPr>
            <w:tcW w:type="dxa" w:w="3480"/>
            <w:tcBorders>
              <w:top w:val="single" w:color="1F4E79" w:sz="1"/>
              <w:left w:val="single" w:color="1F4E79" w:sz="1"/>
              <w:bottom w:val="single" w:color="1F4E79" w:sz="1"/>
              <w:right w:val="single" w:color="1F4E79" w:sz="1"/>
            </w:tcBorders>
            <w:shd w:fill="1F4E79" w:val="clear"/>
            <w:tcMar>
              <w:top w:type="dxa" w:w="100"/>
              <w:left w:type="dxa" w:w="160"/>
              <w:bottom w:type="dxa" w:w="100"/>
              <w:right w:type="dxa" w:w="160"/>
            </w:tcMar>
          </w:tcPr>
          <w:p>
            <w:pPr>
              <w:jc w:val="center"/>
            </w:pPr>
            <w:r>
              <w:rPr>
                <w:rFonts w:ascii="Arial" w:cs="Arial" w:eastAsia="Arial" w:hAnsi="Arial"/>
                <w:b/>
                <w:bCs/>
                <w:color w:val="FFFFFF"/>
                <w:sz w:val="21"/>
                <w:szCs w:val="21"/>
              </w:rPr>
              <w:t xml:space="preserve">How to Achieve It Online</w:t>
            </w:r>
          </w:p>
        </w:tc>
      </w:tr>
      <w:tr>
        <w:tc>
          <w:tcPr>
            <w:tcW w:type="dxa" w:w="24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Timely</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Feedback loses its impact if it arrives weeks after submission, when the learning moment has passed</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Set a maximum 7–10 day turnaround; use Moodle assignment notifications; provide model answers immediately after deadline for formative tasks</w:t>
            </w:r>
          </w:p>
        </w:tc>
      </w:tr>
      <w:tr>
        <w:tc>
          <w:tcPr>
            <w:tcW w:type="dxa" w:w="24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Specific</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'Good work' or 'needs improvement' gives learners nothing actionable to work with</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Reference specific sections of the submission; quote the learner's own words; link feedback to specific rubric criteria</w:t>
            </w:r>
          </w:p>
        </w:tc>
      </w:tr>
      <w:tr>
        <w:tc>
          <w:tcPr>
            <w:tcW w:type="dxa" w:w="24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Forward-looking</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Feedback focused only on what went wrong in the past does not help learners improve</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For every weakness identified, include a specific suggestion for improvement: 'In your next submission, try...'</w:t>
            </w:r>
          </w:p>
        </w:tc>
      </w:tr>
      <w:tr>
        <w:tc>
          <w:tcPr>
            <w:tcW w:type="dxa" w:w="24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Accessible</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Text-heavy feedback documents may be inaccessible to learners with dyslexia, visual impairments, or low literacy</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Offer audio or video feedback as an alternative to or alongside written feedback; use accessible Word or PDF documents; use Moodle Feedback comments with clear structure</w:t>
            </w:r>
          </w:p>
        </w:tc>
      </w:tr>
      <w:tr>
        <w:tc>
          <w:tcPr>
            <w:tcW w:type="dxa" w:w="2400"/>
            <w:tcBorders>
              <w:top w:val="single" w:color="AABDD4" w:sz="1"/>
              <w:left w:val="single" w:color="AABDD4" w:sz="1"/>
              <w:bottom w:val="single" w:color="AABDD4" w:sz="1"/>
              <w:right w:val="single" w:color="AABDD4" w:sz="1"/>
            </w:tcBorders>
            <w:shd w:fill="D6E4F0"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Dialogic</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Feedback as a one-way broadcast does not engage learners in the improvement process</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Invite a written or recorded response to feedback; use feed-forward reflection tasks; create space for learners to ask questions about their feedback</w:t>
            </w:r>
          </w:p>
        </w:tc>
      </w:tr>
      <w:tr>
        <w:tc>
          <w:tcPr>
            <w:tcW w:type="dxa" w:w="2400"/>
            <w:tcBorders>
              <w:top w:val="single" w:color="AABDD4" w:sz="1"/>
              <w:left w:val="single" w:color="AABDD4" w:sz="1"/>
              <w:bottom w:val="single" w:color="AABDD4" w:sz="1"/>
              <w:right w:val="single" w:color="AABDD4" w:sz="1"/>
            </w:tcBorders>
            <w:shd w:fill="F0F6FC" w:val="clear"/>
            <w:tcMar>
              <w:top w:type="dxa" w:w="90"/>
              <w:left w:type="dxa" w:w="160"/>
              <w:bottom w:type="dxa" w:w="90"/>
              <w:right w:type="dxa" w:w="160"/>
            </w:tcMar>
          </w:tcPr>
          <w:p>
            <w:r>
              <w:rPr>
                <w:rFonts w:ascii="Arial" w:cs="Arial" w:eastAsia="Arial" w:hAnsi="Arial"/>
                <w:b/>
                <w:bCs/>
                <w:i w:val="false"/>
                <w:iCs w:val="false"/>
                <w:color w:val="1F4E79"/>
                <w:sz w:val="20"/>
                <w:szCs w:val="20"/>
              </w:rPr>
              <w:t xml:space="preserve">Culturally sensitive</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Feedback norms vary across cultures — direct critical feedback may feel disrespectful in some cultural contexts; indirect feedback may be unclear in others</w:t>
            </w:r>
          </w:p>
        </w:tc>
        <w:tc>
          <w:tcPr>
            <w:tcW w:type="dxa" w:w="3480"/>
            <w:tcBorders>
              <w:top w:val="single" w:color="AABDD4" w:sz="1"/>
              <w:left w:val="single" w:color="AABDD4" w:sz="1"/>
              <w:bottom w:val="single" w:color="AABDD4" w:sz="1"/>
              <w:right w:val="single" w:color="AABDD4" w:sz="1"/>
            </w:tcBorders>
            <w:shd w:fill="FFFFFF" w:val="clear"/>
            <w:tcMar>
              <w:top w:type="dxa" w:w="90"/>
              <w:left w:type="dxa" w:w="160"/>
              <w:bottom w:type="dxa" w:w="90"/>
              <w:right w:type="dxa" w:w="160"/>
            </w:tcMar>
          </w:tcPr>
          <w:p>
            <w:r>
              <w:rPr>
                <w:rFonts w:ascii="Arial" w:cs="Arial" w:eastAsia="Arial" w:hAnsi="Arial"/>
                <w:b w:val="false"/>
                <w:bCs w:val="false"/>
                <w:i w:val="false"/>
                <w:iCs w:val="false"/>
                <w:color w:val="2F2F2F"/>
                <w:sz w:val="20"/>
                <w:szCs w:val="20"/>
              </w:rPr>
              <w:t xml:space="preserve">Frame feedback with care; explain the academic purpose of critical feedback; check in with students from cultures where public critique is less common</w:t>
            </w:r>
          </w:p>
        </w:tc>
      </w:tr>
    </w:tbl>
    <w:p>
      <w:pPr>
        <w:spacing w:after="0" w:before="80"/>
      </w:pPr>
      <w:r>
        <w:t xml:space="preserve"/>
      </w:r>
    </w:p>
    <w:p>
      <w:pPr>
        <w:pStyle w:val="Heading3"/>
        <w:spacing w:after="80" w:before="200"/>
      </w:pPr>
      <w:r>
        <w:rPr>
          <w:rFonts w:ascii="Arial" w:cs="Arial" w:eastAsia="Arial" w:hAnsi="Arial"/>
          <w:b/>
          <w:bCs/>
          <w:color w:val="1F4E79"/>
          <w:sz w:val="24"/>
          <w:szCs w:val="24"/>
        </w:rPr>
        <w:t xml:space="preserve">4.2 E-Feedback Tools and Methods</w:t>
      </w:r>
    </w:p>
    <w:p>
      <w:pPr>
        <w:spacing w:after="80" w:before="60"/>
      </w:pPr>
      <w:r>
        <w:rPr>
          <w:rFonts w:ascii="Arial" w:cs="Arial" w:eastAsia="Arial" w:hAnsi="Arial"/>
          <w:color w:val="2F2F2F"/>
          <w:sz w:val="22"/>
          <w:szCs w:val="22"/>
        </w:rPr>
        <w:t xml:space="preserve">A range of digital tools can be used to provide inclusive e-feedback. The choice of tool should be guided by the learner's access needs, the nature of the assessment, and the instructor's capacity:</w:t>
      </w:r>
    </w:p>
    <w:p>
      <w:pPr>
        <w:pStyle w:val="ListParagraph"/>
        <w:numPr>
          <w:ilvl w:val="0"/>
          <w:numId w:val="2"/>
        </w:numPr>
        <w:spacing w:after="40" w:before="40"/>
      </w:pPr>
      <w:r>
        <w:rPr>
          <w:rFonts w:ascii="Arial" w:cs="Arial" w:eastAsia="Arial" w:hAnsi="Arial"/>
          <w:b/>
          <w:bCs/>
          <w:color w:val="2F2F2F"/>
          <w:sz w:val="22"/>
          <w:szCs w:val="22"/>
        </w:rPr>
        <w:t xml:space="preserve">Moodle Feedback Comments (text): Accessible and straightforward; use structured headings (Strengths / Areas for Development / Next Steps) to aid navigation; link explicitly to rubric criteria.</w:t>
      </w:r>
    </w:p>
    <w:p>
      <w:pPr>
        <w:pStyle w:val="ListParagraph"/>
        <w:numPr>
          <w:ilvl w:val="0"/>
          <w:numId w:val="2"/>
        </w:numPr>
        <w:spacing w:after="40" w:before="40"/>
      </w:pPr>
      <w:r>
        <w:rPr>
          <w:rFonts w:ascii="Arial" w:cs="Arial" w:eastAsia="Arial" w:hAnsi="Arial"/>
          <w:b/>
          <w:bCs/>
          <w:color w:val="2F2F2F"/>
          <w:sz w:val="22"/>
          <w:szCs w:val="22"/>
        </w:rPr>
        <w:t xml:space="preserve">Audio feedback (Moodle Media Recorder, Audacity, voice message): Particularly effective for learners with dyslexia or visual impairments; often perceived as more personal and dialogic than text; can convey tone and enthusiasm. Always pair with a brief written summary for learners with hearing impairments.</w:t>
      </w:r>
    </w:p>
    <w:p>
      <w:pPr>
        <w:pStyle w:val="ListParagraph"/>
        <w:numPr>
          <w:ilvl w:val="0"/>
          <w:numId w:val="2"/>
        </w:numPr>
        <w:spacing w:after="40" w:before="40"/>
      </w:pPr>
      <w:r>
        <w:rPr>
          <w:rFonts w:ascii="Arial" w:cs="Arial" w:eastAsia="Arial" w:hAnsi="Arial"/>
          <w:b/>
          <w:bCs/>
          <w:color w:val="2F2F2F"/>
          <w:sz w:val="22"/>
          <w:szCs w:val="22"/>
        </w:rPr>
        <w:t xml:space="preserve">Video feedback (Kaltura, Panopto, Loom): Allows screen-sharing to point directly to specific sections of the learner's work; effective for design, writing, and portfolio tasks. Requires captions.</w:t>
      </w:r>
    </w:p>
    <w:p>
      <w:pPr>
        <w:pStyle w:val="ListParagraph"/>
        <w:numPr>
          <w:ilvl w:val="0"/>
          <w:numId w:val="2"/>
        </w:numPr>
        <w:spacing w:after="40" w:before="40"/>
      </w:pPr>
      <w:r>
        <w:rPr>
          <w:rFonts w:ascii="Arial" w:cs="Arial" w:eastAsia="Arial" w:hAnsi="Arial"/>
          <w:b/>
          <w:bCs/>
          <w:color w:val="2F2F2F"/>
          <w:sz w:val="22"/>
          <w:szCs w:val="22"/>
        </w:rPr>
        <w:t xml:space="preserve">Annotated document feedback (Track Changes in Word, inline comments): Allows specific, contextualised feedback at the sentence or paragraph level; use alongside a summary feedback statement on the rubric.</w:t>
      </w:r>
    </w:p>
    <w:p>
      <w:pPr>
        <w:pStyle w:val="ListParagraph"/>
        <w:numPr>
          <w:ilvl w:val="0"/>
          <w:numId w:val="2"/>
        </w:numPr>
        <w:spacing w:after="40" w:before="40"/>
      </w:pPr>
      <w:r>
        <w:rPr>
          <w:rFonts w:ascii="Arial" w:cs="Arial" w:eastAsia="Arial" w:hAnsi="Arial"/>
          <w:b/>
          <w:bCs/>
          <w:color w:val="2F2F2F"/>
          <w:sz w:val="22"/>
          <w:szCs w:val="22"/>
        </w:rPr>
        <w:t xml:space="preserve">Moodle Rubric with comments: The Moodle Assignment activity supports rubric-based grading with a comment field for each criterion — highly structured and transparent. Ideal for inclusive feedback.</w:t>
      </w:r>
    </w:p>
    <w:p>
      <w:pPr>
        <w:pStyle w:val="ListParagraph"/>
        <w:numPr>
          <w:ilvl w:val="0"/>
          <w:numId w:val="2"/>
        </w:numPr>
        <w:spacing w:after="40" w:before="40"/>
      </w:pPr>
      <w:r>
        <w:rPr>
          <w:rFonts w:ascii="Arial" w:cs="Arial" w:eastAsia="Arial" w:hAnsi="Arial"/>
          <w:b/>
          <w:bCs/>
          <w:color w:val="2F2F2F"/>
          <w:sz w:val="22"/>
          <w:szCs w:val="22"/>
        </w:rPr>
        <w:t xml:space="preserve">Peer feedback (Moodle Workshop): Structured peer feedback using a shared rubric; develops evaluative skills while providing an additional feedback source. Must be carefully scaffolded — see Section 2.2.</w:t>
      </w:r>
    </w:p>
    <w:p>
      <w:pPr>
        <w:spacing w:after="0" w:before="80"/>
      </w:pPr>
      <w:r>
        <w:t xml:space="preserve"/>
      </w:r>
    </w:p>
    <w:p>
      <w:pPr>
        <w:pStyle w:val="Heading3"/>
        <w:spacing w:after="80" w:before="200"/>
      </w:pPr>
      <w:r>
        <w:rPr>
          <w:rFonts w:ascii="Arial" w:cs="Arial" w:eastAsia="Arial" w:hAnsi="Arial"/>
          <w:b/>
          <w:bCs/>
          <w:color w:val="1F4E79"/>
          <w:sz w:val="24"/>
          <w:szCs w:val="24"/>
        </w:rPr>
        <w:t xml:space="preserve">4.3 Feed-Forward: Closing the Feedback Loop</w:t>
      </w:r>
    </w:p>
    <w:p>
      <w:pPr>
        <w:spacing w:after="80" w:before="60"/>
      </w:pPr>
      <w:r>
        <w:rPr>
          <w:rFonts w:ascii="Arial" w:cs="Arial" w:eastAsia="Arial" w:hAnsi="Arial"/>
          <w:color w:val="2F2F2F"/>
          <w:sz w:val="22"/>
          <w:szCs w:val="22"/>
        </w:rPr>
        <w:t xml:space="preserve">Research consistently shows that learners often do not read, understand, or act on feedback they receive. Feed-forward strategies close the feedback loop by requiring active engagement with feedback:</w:t>
      </w:r>
    </w:p>
    <w:p>
      <w:pPr>
        <w:pStyle w:val="ListParagraph"/>
        <w:numPr>
          <w:ilvl w:val="0"/>
          <w:numId w:val="2"/>
        </w:numPr>
        <w:spacing w:after="40" w:before="40"/>
      </w:pPr>
      <w:r>
        <w:rPr>
          <w:rFonts w:ascii="Arial" w:cs="Arial" w:eastAsia="Arial" w:hAnsi="Arial"/>
          <w:b w:val="false"/>
          <w:bCs w:val="false"/>
          <w:color w:val="2F2F2F"/>
          <w:sz w:val="22"/>
          <w:szCs w:val="22"/>
        </w:rPr>
        <w:t xml:space="preserve">Feedback acknowledgement task: Before submitting their next assignment, require learners to submit a 150-word 'Feedback Response': summarising the key feedback they received, what they plan to do differently, and one question they have about the feedback.</w:t>
      </w:r>
    </w:p>
    <w:p>
      <w:pPr>
        <w:pStyle w:val="ListParagraph"/>
        <w:numPr>
          <w:ilvl w:val="0"/>
          <w:numId w:val="2"/>
        </w:numPr>
        <w:spacing w:after="40" w:before="40"/>
      </w:pPr>
      <w:r>
        <w:rPr>
          <w:rFonts w:ascii="Arial" w:cs="Arial" w:eastAsia="Arial" w:hAnsi="Arial"/>
          <w:b w:val="false"/>
          <w:bCs w:val="false"/>
          <w:color w:val="2F2F2F"/>
          <w:sz w:val="22"/>
          <w:szCs w:val="22"/>
        </w:rPr>
        <w:t xml:space="preserve">Improvement annotation: Ask learners to annotate their next submission at specific points to show where they have responded to previous feedback — e.g. highlight in blue where they have improved their critical analysis.</w:t>
      </w:r>
    </w:p>
    <w:p>
      <w:pPr>
        <w:pStyle w:val="ListParagraph"/>
        <w:numPr>
          <w:ilvl w:val="0"/>
          <w:numId w:val="2"/>
        </w:numPr>
        <w:spacing w:after="40" w:before="40"/>
      </w:pPr>
      <w:r>
        <w:rPr>
          <w:rFonts w:ascii="Arial" w:cs="Arial" w:eastAsia="Arial" w:hAnsi="Arial"/>
          <w:b w:val="false"/>
          <w:bCs w:val="false"/>
          <w:color w:val="2F2F2F"/>
          <w:sz w:val="22"/>
          <w:szCs w:val="22"/>
        </w:rPr>
        <w:t xml:space="preserve">Feedback gallery: After formative submissions, share (with permission) 3–4 annotated model responses with the class as part of the feedback process, showing what excellent, adequate, and developing submissions look like.</w:t>
      </w:r>
    </w:p>
    <w:p>
      <w:pPr>
        <w:pStyle w:val="ListParagraph"/>
        <w:numPr>
          <w:ilvl w:val="0"/>
          <w:numId w:val="2"/>
        </w:numPr>
        <w:spacing w:after="40" w:before="40"/>
      </w:pPr>
      <w:r>
        <w:rPr>
          <w:rFonts w:ascii="Arial" w:cs="Arial" w:eastAsia="Arial" w:hAnsi="Arial"/>
          <w:b w:val="false"/>
          <w:bCs w:val="false"/>
          <w:color w:val="2F2F2F"/>
          <w:sz w:val="22"/>
          <w:szCs w:val="22"/>
        </w:rPr>
        <w:t xml:space="preserve">One-to-one feedback sessions: For high-stakes assignments, offer short (10-minute) synchronous feedback drop-in sessions via Zoom — particularly valuable for learners who find written feedback difficult to decode.</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single" w:color="F0A500" w:sz="1"/>
              <w:bottom w:val="single" w:color="F0A500" w:sz="1"/>
              <w:right w:val="single" w:color="F0A500" w:sz="1"/>
            </w:tcBorders>
            <w:shd w:fill="FFFDE7" w:val="clear"/>
            <w:tcMar>
              <w:top w:type="dxa" w:w="160"/>
              <w:left w:type="dxa" w:w="200"/>
              <w:bottom w:type="dxa" w:w="160"/>
              <w:right w:type="dxa" w:w="200"/>
            </w:tcMar>
          </w:tcPr>
          <w:p>
            <w:pPr>
              <w:spacing w:after="80" w:before="0"/>
            </w:pPr>
            <w:r>
              <w:rPr>
                <w:rFonts w:ascii="Arial" w:cs="Arial" w:eastAsia="Arial" w:hAnsi="Arial"/>
                <w:b/>
                <w:bCs/>
                <w:color w:val="8A6300"/>
                <w:sz w:val="22"/>
                <w:szCs w:val="22"/>
              </w:rPr>
              <w:t xml:space="preserve">Activity 5.4 — </w:t>
            </w:r>
            <w:r>
              <w:rPr>
                <w:rFonts w:ascii="Arial" w:cs="Arial" w:eastAsia="Arial" w:hAnsi="Arial"/>
                <w:b/>
                <w:bCs/>
                <w:color w:val="2F2F2F"/>
                <w:sz w:val="22"/>
                <w:szCs w:val="22"/>
              </w:rPr>
              <w:t xml:space="preserve">Inclusive Assessment Design Challenge (Peer-reviewed Formative Task)</w:t>
            </w:r>
          </w:p>
          <w:p>
            <w:pPr>
              <w:spacing w:after="60" w:before="0"/>
            </w:pPr>
            <w:r>
              <w:rPr>
                <w:rFonts w:ascii="Arial" w:cs="Arial" w:eastAsia="Arial" w:hAnsi="Arial"/>
                <w:b/>
                <w:bCs/>
                <w:color w:val="2F2F2F"/>
                <w:sz w:val="22"/>
                <w:szCs w:val="22"/>
              </w:rPr>
              <w:t xml:space="preserve">Mode: </w:t>
            </w:r>
            <w:r>
              <w:rPr>
                <w:rFonts w:ascii="Arial" w:cs="Arial" w:eastAsia="Arial" w:hAnsi="Arial"/>
                <w:color w:val="2F2F2F"/>
                <w:sz w:val="22"/>
                <w:szCs w:val="22"/>
              </w:rPr>
              <w:t xml:space="preserve">Blended — individual design task online + peer review in class</w:t>
            </w:r>
          </w:p>
          <w:p>
            <w:pPr>
              <w:spacing w:after="60" w:before="0"/>
            </w:pPr>
            <w:r>
              <w:rPr>
                <w:rFonts w:ascii="Arial" w:cs="Arial" w:eastAsia="Arial" w:hAnsi="Arial"/>
                <w:b/>
                <w:bCs/>
                <w:color w:val="2F2F2F"/>
                <w:sz w:val="22"/>
                <w:szCs w:val="22"/>
              </w:rPr>
              <w:t xml:space="preserve">Duration: </w:t>
            </w:r>
            <w:r>
              <w:rPr>
                <w:rFonts w:ascii="Arial" w:cs="Arial" w:eastAsia="Arial" w:hAnsi="Arial"/>
                <w:color w:val="2F2F2F"/>
                <w:sz w:val="22"/>
                <w:szCs w:val="22"/>
              </w:rPr>
              <w:t xml:space="preserve">3 hours (2.5 hours individual design + 30 minutes in-class peer review)</w:t>
            </w:r>
          </w:p>
          <w:p>
            <w:pPr>
              <w:spacing w:after="0" w:before="40"/>
            </w:pPr>
            <w:r>
              <w:t xml:space="preserve"/>
            </w:r>
          </w:p>
          <w:p>
            <w:pPr>
              <w:spacing w:after="60" w:before="0"/>
            </w:pPr>
            <w:r>
              <w:rPr>
                <w:rFonts w:ascii="Arial" w:cs="Arial" w:eastAsia="Arial" w:hAnsi="Arial"/>
                <w:b/>
                <w:bCs/>
                <w:color w:val="2F2F2F"/>
                <w:sz w:val="22"/>
                <w:szCs w:val="22"/>
              </w:rPr>
              <w:t xml:space="preserve">Task:</w:t>
            </w:r>
          </w:p>
          <w:p>
            <w:pPr>
              <w:spacing w:after="80" w:before="60"/>
            </w:pPr>
            <w:r>
              <w:rPr>
                <w:rFonts w:ascii="Arial" w:cs="Arial" w:eastAsia="Arial" w:hAnsi="Arial"/>
                <w:color w:val="2F2F2F"/>
                <w:sz w:val="22"/>
                <w:szCs w:val="22"/>
              </w:rPr>
              <w:t xml:space="preserve">Redesign one existing assessment task from a module you teach or know well to make it inclusive, applying the principles from this unit. Your submission (uploaded to Moodle) must include:</w:t>
            </w:r>
          </w:p>
          <w:p>
            <w:pPr>
              <w:pStyle w:val="ListParagraph"/>
              <w:numPr>
                <w:ilvl w:val="0"/>
                <w:numId w:val="3"/>
              </w:numPr>
              <w:spacing w:after="40" w:before="40"/>
            </w:pPr>
            <w:r>
              <w:rPr>
                <w:rFonts w:ascii="Arial" w:cs="Arial" w:eastAsia="Arial" w:hAnsi="Arial"/>
                <w:color w:val="2F2F2F"/>
                <w:sz w:val="21"/>
                <w:szCs w:val="21"/>
              </w:rPr>
              <w:t xml:space="preserve">The original assessment brief (or description) — clearly labelled 'Original'</w:t>
            </w:r>
          </w:p>
          <w:p>
            <w:pPr>
              <w:pStyle w:val="ListParagraph"/>
              <w:numPr>
                <w:ilvl w:val="0"/>
                <w:numId w:val="3"/>
              </w:numPr>
              <w:spacing w:after="40" w:before="40"/>
            </w:pPr>
            <w:r>
              <w:rPr>
                <w:rFonts w:ascii="Arial" w:cs="Arial" w:eastAsia="Arial" w:hAnsi="Arial"/>
                <w:color w:val="2F2F2F"/>
                <w:sz w:val="21"/>
                <w:szCs w:val="21"/>
              </w:rPr>
              <w:t xml:space="preserve">The redesigned assessment brief — clearly labelled 'Revised'. Must include: learning outcomes addressed, a choice menu of at least two submission formats, clear and accessible format requirements, and the marking rubric.</w:t>
            </w:r>
          </w:p>
          <w:p>
            <w:pPr>
              <w:pStyle w:val="ListParagraph"/>
              <w:numPr>
                <w:ilvl w:val="0"/>
                <w:numId w:val="3"/>
              </w:numPr>
              <w:spacing w:after="40" w:before="40"/>
            </w:pPr>
            <w:r>
              <w:rPr>
                <w:rFonts w:ascii="Arial" w:cs="Arial" w:eastAsia="Arial" w:hAnsi="Arial"/>
                <w:color w:val="2F2F2F"/>
                <w:sz w:val="21"/>
                <w:szCs w:val="21"/>
              </w:rPr>
              <w:t xml:space="preserve">An e-feedback plan (300 words): Describe how you will provide inclusive feedback on this assessment, specifying the tool(s) you will use, the format of your feedback, and how you will create a feed-forward opportunity.</w:t>
            </w:r>
          </w:p>
          <w:p>
            <w:pPr>
              <w:pStyle w:val="ListParagraph"/>
              <w:numPr>
                <w:ilvl w:val="0"/>
                <w:numId w:val="3"/>
              </w:numPr>
              <w:spacing w:after="40" w:before="40"/>
            </w:pPr>
            <w:r>
              <w:rPr>
                <w:rFonts w:ascii="Arial" w:cs="Arial" w:eastAsia="Arial" w:hAnsi="Arial"/>
                <w:color w:val="2F2F2F"/>
                <w:sz w:val="21"/>
                <w:szCs w:val="21"/>
              </w:rPr>
              <w:t xml:space="preserve">A design rationale (400 words): Explain the key inclusive design decisions you made, which learner groups they benefit, and how your redesign upholds the principle of equity without compromising validity.</w:t>
            </w:r>
          </w:p>
          <w:p>
            <w:pPr>
              <w:spacing w:after="0" w:before="40"/>
            </w:pPr>
            <w:r>
              <w:t xml:space="preserve"/>
            </w:r>
          </w:p>
          <w:p>
            <w:pPr>
              <w:spacing w:after="60" w:before="0"/>
            </w:pPr>
            <w:r>
              <w:rPr>
                <w:rFonts w:ascii="Arial" w:cs="Arial" w:eastAsia="Arial" w:hAnsi="Arial"/>
                <w:b/>
                <w:bCs/>
                <w:color w:val="2F2F2F"/>
                <w:sz w:val="22"/>
                <w:szCs w:val="22"/>
              </w:rPr>
              <w:t xml:space="preserve">In-Class Peer Review:</w:t>
            </w:r>
          </w:p>
          <w:p>
            <w:pPr>
              <w:spacing w:after="80" w:before="60"/>
            </w:pPr>
            <w:r>
              <w:rPr>
                <w:rFonts w:ascii="Arial" w:cs="Arial" w:eastAsia="Arial" w:hAnsi="Arial"/>
                <w:color w:val="2F2F2F"/>
                <w:sz w:val="22"/>
                <w:szCs w:val="22"/>
              </w:rPr>
              <w:t xml:space="preserve">Exchange your redesigned assessment brief with a peer. Your peer evaluates it against the 7 Principles of Inclusive Assessment (Section 1.3) and provides written feedback within 20 minutes. Facilitator leads a whole-class debrief on common strengths and recurring gaps.</w:t>
            </w:r>
          </w:p>
          <w:p>
            <w:pPr>
              <w:spacing w:after="0" w:before="40"/>
            </w:pPr>
            <w:r>
              <w:t xml:space="preserve"/>
            </w:r>
          </w:p>
          <w:p>
            <w:pPr>
              <w:spacing w:after="0" w:before="0"/>
            </w:pPr>
            <w:r>
              <w:rPr>
                <w:rFonts w:ascii="Arial" w:cs="Arial" w:eastAsia="Arial" w:hAnsi="Arial"/>
                <w:b/>
                <w:bCs/>
                <w:color w:val="8A6300"/>
                <w:sz w:val="20"/>
                <w:szCs w:val="20"/>
              </w:rPr>
              <w:t xml:space="preserve">Links to Learning Outcomes: LO1, LO2, LO3, LO4</w:t>
            </w:r>
          </w:p>
        </w:tc>
      </w:tr>
    </w:tbl>
    <w:p>
      <w:pPr>
        <w:spacing w:after="0" w:before="200"/>
      </w:pPr>
      <w:r>
        <w:t xml:space="preserve"/>
      </w:r>
    </w:p>
    <w:p>
      <w:pPr>
        <w:pStyle w:val="Heading2"/>
        <w:spacing w:after="100" w:before="280"/>
      </w:pPr>
      <w:r>
        <w:rPr>
          <w:rFonts w:ascii="Arial" w:cs="Arial" w:eastAsia="Arial" w:hAnsi="Arial"/>
          <w:b/>
          <w:bCs/>
          <w:color w:val="2E75B6"/>
          <w:sz w:val="28"/>
          <w:szCs w:val="28"/>
        </w:rPr>
        <w:t xml:space="preserve">Indicative Readings and Resources</w:t>
      </w:r>
    </w:p>
    <w:p>
      <w:pPr>
        <w:spacing w:after="80" w:before="60"/>
      </w:pPr>
      <w:r>
        <w:rPr>
          <w:rFonts w:ascii="Arial" w:cs="Arial" w:eastAsia="Arial" w:hAnsi="Arial"/>
          <w:b/>
          <w:bCs/>
          <w:color w:val="2F2F2F"/>
          <w:sz w:val="22"/>
          <w:szCs w:val="22"/>
        </w:rPr>
        <w:t xml:space="preserve">Core References:</w:t>
      </w:r>
    </w:p>
    <w:p>
      <w:pPr>
        <w:pStyle w:val="ListParagraph"/>
        <w:numPr>
          <w:ilvl w:val="0"/>
          <w:numId w:val="2"/>
        </w:numPr>
        <w:spacing w:after="40" w:before="40"/>
      </w:pPr>
      <w:r>
        <w:rPr>
          <w:rFonts w:ascii="Arial" w:cs="Arial" w:eastAsia="Arial" w:hAnsi="Arial"/>
          <w:b w:val="false"/>
          <w:bCs w:val="false"/>
          <w:color w:val="2F2F2F"/>
          <w:sz w:val="22"/>
          <w:szCs w:val="22"/>
        </w:rPr>
        <w:t xml:space="preserve">Sambell, K., McDowell, L., &amp; Montgomery, C. (2013). Assessment for learning in higher education. Routledge.</w:t>
      </w:r>
    </w:p>
    <w:p>
      <w:pPr>
        <w:pStyle w:val="ListParagraph"/>
        <w:numPr>
          <w:ilvl w:val="0"/>
          <w:numId w:val="2"/>
        </w:numPr>
        <w:spacing w:after="40" w:before="40"/>
      </w:pPr>
      <w:r>
        <w:rPr>
          <w:rFonts w:ascii="Arial" w:cs="Arial" w:eastAsia="Arial" w:hAnsi="Arial"/>
          <w:b w:val="false"/>
          <w:bCs w:val="false"/>
          <w:color w:val="2F2F2F"/>
          <w:sz w:val="22"/>
          <w:szCs w:val="22"/>
        </w:rPr>
        <w:t xml:space="preserve">Race, P. (2015). The lecturer's toolkit: A practical guide to assessment, learning and teaching (4th ed.). Routledge.</w:t>
      </w:r>
    </w:p>
    <w:p>
      <w:pPr>
        <w:pStyle w:val="ListParagraph"/>
        <w:numPr>
          <w:ilvl w:val="0"/>
          <w:numId w:val="2"/>
        </w:numPr>
        <w:spacing w:after="40" w:before="40"/>
      </w:pPr>
      <w:r>
        <w:rPr>
          <w:rFonts w:ascii="Arial" w:cs="Arial" w:eastAsia="Arial" w:hAnsi="Arial"/>
          <w:b w:val="false"/>
          <w:bCs w:val="false"/>
          <w:color w:val="2F2F2F"/>
          <w:sz w:val="22"/>
          <w:szCs w:val="22"/>
        </w:rPr>
        <w:t xml:space="preserve">Nicol, D. J., &amp; Macfarlane-Dick, D. (2006). Formative assessment and self-regulated learning: A model and seven principles of good feedback practice. Studies in Higher Education, 31(2), 199–218.</w:t>
      </w:r>
    </w:p>
    <w:p>
      <w:pPr>
        <w:pStyle w:val="ListParagraph"/>
        <w:numPr>
          <w:ilvl w:val="0"/>
          <w:numId w:val="2"/>
        </w:numPr>
        <w:spacing w:after="40" w:before="40"/>
      </w:pPr>
      <w:r>
        <w:rPr>
          <w:rFonts w:ascii="Arial" w:cs="Arial" w:eastAsia="Arial" w:hAnsi="Arial"/>
          <w:b w:val="false"/>
          <w:bCs w:val="false"/>
          <w:color w:val="2F2F2F"/>
          <w:sz w:val="22"/>
          <w:szCs w:val="22"/>
        </w:rPr>
        <w:t xml:space="preserve">CAST (2018). UDL and Assessment. http://udlguidelines.cast.org</w:t>
      </w:r>
    </w:p>
    <w:p>
      <w:pPr>
        <w:spacing w:after="0" w:before="60"/>
      </w:pPr>
      <w:r>
        <w:t xml:space="preserve"/>
      </w:r>
    </w:p>
    <w:p>
      <w:pPr>
        <w:spacing w:after="80" w:before="60"/>
      </w:pPr>
      <w:r>
        <w:rPr>
          <w:rFonts w:ascii="Arial" w:cs="Arial" w:eastAsia="Arial" w:hAnsi="Arial"/>
          <w:b/>
          <w:bCs/>
          <w:color w:val="2F2F2F"/>
          <w:sz w:val="22"/>
          <w:szCs w:val="22"/>
        </w:rPr>
        <w:t xml:space="preserve">Supplementary References:</w:t>
      </w:r>
    </w:p>
    <w:p>
      <w:pPr>
        <w:pStyle w:val="ListParagraph"/>
        <w:numPr>
          <w:ilvl w:val="0"/>
          <w:numId w:val="2"/>
        </w:numPr>
        <w:spacing w:after="40" w:before="40"/>
      </w:pPr>
      <w:r>
        <w:rPr>
          <w:rFonts w:ascii="Arial" w:cs="Arial" w:eastAsia="Arial" w:hAnsi="Arial"/>
          <w:b w:val="false"/>
          <w:bCs w:val="false"/>
          <w:color w:val="2F2F2F"/>
          <w:sz w:val="22"/>
          <w:szCs w:val="22"/>
        </w:rPr>
        <w:t xml:space="preserve">Boud, D., &amp; Molloy, E. (Eds.). (2013). Feedback in higher and professional education: Understanding it and doing it well. Routledge.</w:t>
      </w:r>
    </w:p>
    <w:p>
      <w:pPr>
        <w:pStyle w:val="ListParagraph"/>
        <w:numPr>
          <w:ilvl w:val="0"/>
          <w:numId w:val="2"/>
        </w:numPr>
        <w:spacing w:after="40" w:before="40"/>
      </w:pPr>
      <w:r>
        <w:rPr>
          <w:rFonts w:ascii="Arial" w:cs="Arial" w:eastAsia="Arial" w:hAnsi="Arial"/>
          <w:b w:val="false"/>
          <w:bCs w:val="false"/>
          <w:color w:val="2F2F2F"/>
          <w:sz w:val="22"/>
          <w:szCs w:val="22"/>
        </w:rPr>
        <w:t xml:space="preserve">Black, P., &amp; Wiliam, D. (1998). Assessment and classroom learning. Assessment in Education, 5(1), 7–74.</w:t>
      </w:r>
    </w:p>
    <w:p>
      <w:pPr>
        <w:pStyle w:val="ListParagraph"/>
        <w:numPr>
          <w:ilvl w:val="0"/>
          <w:numId w:val="2"/>
        </w:numPr>
        <w:spacing w:after="40" w:before="40"/>
      </w:pPr>
      <w:r>
        <w:rPr>
          <w:rFonts w:ascii="Arial" w:cs="Arial" w:eastAsia="Arial" w:hAnsi="Arial"/>
          <w:b w:val="false"/>
          <w:bCs w:val="false"/>
          <w:color w:val="2F2F2F"/>
          <w:sz w:val="22"/>
          <w:szCs w:val="22"/>
        </w:rPr>
        <w:t xml:space="preserve">Hattie, J., &amp; Timperley, H. (2007). The power of feedback. Review of Educational Research, 77(1), 81–112.</w:t>
      </w:r>
    </w:p>
    <w:p>
      <w:pPr>
        <w:pStyle w:val="ListParagraph"/>
        <w:numPr>
          <w:ilvl w:val="0"/>
          <w:numId w:val="2"/>
        </w:numPr>
        <w:spacing w:after="40" w:before="40"/>
      </w:pPr>
      <w:r>
        <w:rPr>
          <w:rFonts w:ascii="Arial" w:cs="Arial" w:eastAsia="Arial" w:hAnsi="Arial"/>
          <w:b w:val="false"/>
          <w:bCs w:val="false"/>
          <w:color w:val="2F2F2F"/>
          <w:sz w:val="22"/>
          <w:szCs w:val="22"/>
        </w:rPr>
        <w:t xml:space="preserve">Carless, D., &amp; Boud, D. (2018). The development of student feedback literacy: Enabling uptake of feedback. Assessment &amp; Evaluation in Higher Education, 43(8), 1315–1325.</w:t>
      </w:r>
    </w:p>
    <w:p>
      <w:pPr>
        <w:spacing w:after="0" w:before="60"/>
      </w:pPr>
      <w:r>
        <w:t xml:space="preserve"/>
      </w:r>
    </w:p>
    <w:p>
      <w:pPr>
        <w:spacing w:after="80" w:before="60"/>
      </w:pPr>
      <w:r>
        <w:rPr>
          <w:rFonts w:ascii="Arial" w:cs="Arial" w:eastAsia="Arial" w:hAnsi="Arial"/>
          <w:b/>
          <w:bCs/>
          <w:color w:val="2F2F2F"/>
          <w:sz w:val="22"/>
          <w:szCs w:val="22"/>
        </w:rPr>
        <w:t xml:space="preserve">Online Tools:</w:t>
      </w:r>
    </w:p>
    <w:p>
      <w:pPr>
        <w:pStyle w:val="ListParagraph"/>
        <w:numPr>
          <w:ilvl w:val="0"/>
          <w:numId w:val="2"/>
        </w:numPr>
        <w:spacing w:after="40" w:before="40"/>
      </w:pPr>
      <w:r>
        <w:rPr>
          <w:rFonts w:ascii="Arial" w:cs="Arial" w:eastAsia="Arial" w:hAnsi="Arial"/>
          <w:b w:val="false"/>
          <w:bCs w:val="false"/>
          <w:color w:val="2F2F2F"/>
          <w:sz w:val="22"/>
          <w:szCs w:val="22"/>
        </w:rPr>
        <w:t xml:space="preserve">Moodle Rubrics (built-in): https://docs.moodle.org/en/Rubric</w:t>
      </w:r>
    </w:p>
    <w:p>
      <w:pPr>
        <w:pStyle w:val="ListParagraph"/>
        <w:numPr>
          <w:ilvl w:val="0"/>
          <w:numId w:val="2"/>
        </w:numPr>
        <w:spacing w:after="40" w:before="40"/>
      </w:pPr>
      <w:r>
        <w:rPr>
          <w:rFonts w:ascii="Arial" w:cs="Arial" w:eastAsia="Arial" w:hAnsi="Arial"/>
          <w:b w:val="false"/>
          <w:bCs w:val="false"/>
          <w:color w:val="2F2F2F"/>
          <w:sz w:val="22"/>
          <w:szCs w:val="22"/>
        </w:rPr>
        <w:t xml:space="preserve">Loom (video feedback): https://www.loom.com</w:t>
      </w:r>
    </w:p>
    <w:p>
      <w:pPr>
        <w:pStyle w:val="ListParagraph"/>
        <w:numPr>
          <w:ilvl w:val="0"/>
          <w:numId w:val="2"/>
        </w:numPr>
        <w:spacing w:after="40" w:before="40"/>
      </w:pPr>
      <w:r>
        <w:rPr>
          <w:rFonts w:ascii="Arial" w:cs="Arial" w:eastAsia="Arial" w:hAnsi="Arial"/>
          <w:b w:val="false"/>
          <w:bCs w:val="false"/>
          <w:color w:val="2F2F2F"/>
          <w:sz w:val="22"/>
          <w:szCs w:val="22"/>
        </w:rPr>
        <w:t xml:space="preserve">Turnitin Feedback Studio: https://www.turnitin.com/products/feedback-studio</w:t>
      </w:r>
    </w:p>
    <w:p>
      <w:pPr>
        <w:pStyle w:val="ListParagraph"/>
        <w:numPr>
          <w:ilvl w:val="0"/>
          <w:numId w:val="2"/>
        </w:numPr>
        <w:spacing w:after="40" w:before="40"/>
      </w:pPr>
      <w:r>
        <w:rPr>
          <w:rFonts w:ascii="Arial" w:cs="Arial" w:eastAsia="Arial" w:hAnsi="Arial"/>
          <w:b w:val="false"/>
          <w:bCs w:val="false"/>
          <w:color w:val="2F2F2F"/>
          <w:sz w:val="22"/>
          <w:szCs w:val="22"/>
        </w:rPr>
        <w:t xml:space="preserve">Peergrade (peer assessment): https://www.peergrade.io</w:t>
      </w:r>
    </w:p>
    <w:p>
      <w:pPr>
        <w:pStyle w:val="ListParagraph"/>
        <w:numPr>
          <w:ilvl w:val="0"/>
          <w:numId w:val="2"/>
        </w:numPr>
        <w:spacing w:after="40" w:before="40"/>
      </w:pPr>
      <w:r>
        <w:rPr>
          <w:rFonts w:ascii="Arial" w:cs="Arial" w:eastAsia="Arial" w:hAnsi="Arial"/>
          <w:b w:val="false"/>
          <w:bCs w:val="false"/>
          <w:color w:val="2F2F2F"/>
          <w:sz w:val="22"/>
          <w:szCs w:val="22"/>
        </w:rPr>
        <w:t xml:space="preserve">Otter.ai (auto-transcription for audio feedback): https://otter.ai</w:t>
      </w:r>
    </w:p>
    <w:p>
      <w:pPr>
        <w:spacing w:after="0" w:before="200"/>
      </w:pPr>
      <w:r>
        <w:t xml:space="preserve"/>
      </w:r>
    </w:p>
    <w:p>
      <w:pPr>
        <w:pBdr>
          <w:top w:val="single" w:color="2E75B6" w:sz="4" w:space="1"/>
        </w:pBdr>
        <w:spacing w:after="60" w:before="200"/>
      </w:pPr>
      <w:r>
        <w:t xml:space="preserve"/>
      </w:r>
    </w:p>
    <w:p>
      <w:pPr>
        <w:jc w:val="center"/>
      </w:pPr>
      <w:r>
        <w:rPr>
          <w:rFonts w:ascii="Arial" w:cs="Arial" w:eastAsia="Arial" w:hAnsi="Arial"/>
          <w:color w:val="595959"/>
          <w:sz w:val="18"/>
          <w:szCs w:val="18"/>
        </w:rPr>
        <w:t xml:space="preserve">MET9243 — Unit 5 Resources | University of Rwanda | Master of Educational Technology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F2F2F"/>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2">
    <w:name w:val="Heading 2"/>
    <w:basedOn w:val="Normal"/>
    <w:next w:val="Normal"/>
    <w:qFormat/>
    <w:pPr>
      <w:spacing w:after="100" w:before="28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F4E7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2026-05-15T22:11:36.687Z</dcterms:created>
  <dcterms:modified xsi:type="dcterms:W3CDTF">2026-05-15T22:11:36.688Z</dcterms:modified>
</cp:coreProperties>
</file>

<file path=docProps/custom.xml><?xml version="1.0" encoding="utf-8"?>
<Properties xmlns="http://schemas.openxmlformats.org/officeDocument/2006/custom-properties" xmlns:vt="http://schemas.openxmlformats.org/officeDocument/2006/docPropsVTypes"/>
</file>