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Arial" w:cs="Arial" w:eastAsia="Arial" w:hAnsi="Arial"/>
          <w:b/>
          <w:bCs/>
          <w:color w:val="595959"/>
          <w:sz w:val="20"/>
          <w:szCs w:val="20"/>
        </w:rPr>
        <w:t xml:space="preserve">MASTER OF EDUCATIONAL TECHNOLOGY (MET)</w:t>
      </w:r>
    </w:p>
    <w:p>
      <w:pPr>
        <w:spacing w:after="80" w:before="0"/>
        <w:jc w:val="center"/>
      </w:pPr>
      <w:r>
        <w:rPr>
          <w:rFonts w:ascii="Arial" w:cs="Arial" w:eastAsia="Arial" w:hAnsi="Arial"/>
          <w:b/>
          <w:bCs/>
          <w:color w:val="2E75B6"/>
          <w:sz w:val="24"/>
          <w:szCs w:val="24"/>
        </w:rPr>
        <w:t xml:space="preserve">MET9243 — Inclusive E-Teaching and Learning Instructional Design</w:t>
      </w:r>
    </w:p>
    <w:p>
      <w:pPr>
        <w:spacing w:after="300" w:before="0"/>
        <w:jc w:val="center"/>
      </w:pPr>
      <w:r>
        <w:rPr>
          <w:rFonts w:ascii="Arial" w:cs="Arial" w:eastAsia="Arial" w:hAnsi="Arial"/>
          <w:color w:val="595959"/>
          <w:sz w:val="20"/>
          <w:szCs w:val="20"/>
        </w:rPr>
        <w:t xml:space="preserve">Year 1 | Semester 2 | Blended Learning Mode</w:t>
      </w:r>
    </w:p>
    <w:p>
      <w:pPr>
        <w:pBdr>
          <w:bottom w:val="single" w:color="2E75B6" w:sz="8" w:space="1"/>
        </w:pBdr>
        <w:spacing w:after="240" w:before="0"/>
      </w:pPr>
      <w:r>
        <w:t xml:space="preserve"/>
      </w:r>
    </w:p>
    <w:p>
      <w:pPr>
        <w:spacing w:after="60" w:before="200"/>
      </w:pPr>
      <w:r>
        <w:rPr>
          <w:rFonts w:ascii="Arial" w:cs="Arial" w:eastAsia="Arial" w:hAnsi="Arial"/>
          <w:b/>
          <w:bCs/>
          <w:caps/>
          <w:color w:val="595959"/>
          <w:sz w:val="28"/>
          <w:szCs w:val="28"/>
        </w:rPr>
        <w:t xml:space="preserve">UNIT 4</w:t>
      </w:r>
    </w:p>
    <w:p>
      <w:pPr>
        <w:spacing w:after="200" w:before="0"/>
      </w:pPr>
      <w:r>
        <w:rPr>
          <w:rFonts w:ascii="Arial" w:cs="Arial" w:eastAsia="Arial" w:hAnsi="Arial"/>
          <w:b/>
          <w:bCs/>
          <w:color w:val="1F4E79"/>
          <w:sz w:val="40"/>
          <w:szCs w:val="40"/>
        </w:rPr>
        <w:t xml:space="preserve">Designing Inclusive Instructional Materials</w:t>
      </w:r>
    </w:p>
    <w:p>
      <w:pPr>
        <w:pStyle w:val="Heading2"/>
        <w:spacing w:after="100" w:before="280"/>
      </w:pPr>
      <w:r>
        <w:rPr>
          <w:rFonts w:ascii="Arial" w:cs="Arial" w:eastAsia="Arial" w:hAnsi="Arial"/>
          <w:b/>
          <w:bCs/>
          <w:color w:val="2E75B6"/>
          <w:sz w:val="28"/>
          <w:szCs w:val="28"/>
        </w:rPr>
        <w:t xml:space="preserve">Introduction and Aim</w:t>
      </w:r>
    </w:p>
    <w:p>
      <w:pPr>
        <w:spacing w:after="80" w:before="60"/>
      </w:pPr>
      <w:r>
        <w:rPr>
          <w:rFonts w:ascii="Arial" w:cs="Arial" w:eastAsia="Arial" w:hAnsi="Arial"/>
          <w:color w:val="2F2F2F"/>
          <w:sz w:val="22"/>
          <w:szCs w:val="22"/>
        </w:rPr>
        <w:t xml:space="preserve">Having established who diverse and disabled learners are (Unit 3) and what frameworks guide inclusive design (Units 1–2), this unit focuses on the craft of creation: how to produce instructional materials — documents, presentations, videos, interactive content, and learning activities — that are accessible, engaging, and effective for all learners from the outset.</w:t>
      </w:r>
    </w:p>
    <w:p>
      <w:pPr>
        <w:spacing w:after="0" w:before="60"/>
      </w:pPr>
      <w:r>
        <w:t xml:space="preserve"/>
      </w:r>
    </w:p>
    <w:p>
      <w:pPr>
        <w:spacing w:after="80" w:before="60"/>
      </w:pPr>
      <w:r>
        <w:rPr>
          <w:rFonts w:ascii="Arial" w:cs="Arial" w:eastAsia="Arial" w:hAnsi="Arial"/>
          <w:color w:val="2F2F2F"/>
          <w:sz w:val="22"/>
          <w:szCs w:val="22"/>
        </w:rPr>
        <w:t xml:space="preserve">Inclusive material design is not about adding accessibility as an afterthought. It is about embedding inclusive principles into every production decision: the fonts chosen, the structure of a document, the way a video is scripted, the language used in instructions, and the formats in which content is made available. This unit equips students with the practical skills to do exactly that.</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1"/>
              <w:left w:val="single" w:color="2E75B6" w:sz="1"/>
              <w:bottom w:val="single" w:color="2E75B6" w:sz="1"/>
              <w:right w:val="single" w:color="2E75B6" w:sz="1"/>
            </w:tcBorders>
            <w:shd w:fill="D6E4F0" w:val="clear"/>
            <w:tcMar>
              <w:top w:type="dxa" w:w="160"/>
              <w:left w:type="dxa" w:w="200"/>
              <w:bottom w:type="dxa" w:w="160"/>
              <w:right w:type="dxa" w:w="200"/>
            </w:tcMar>
          </w:tcPr>
          <w:p>
            <w:pPr>
              <w:spacing w:after="60" w:before="0"/>
            </w:pPr>
            <w:r>
              <w:rPr>
                <w:rFonts w:ascii="Arial" w:cs="Arial" w:eastAsia="Arial" w:hAnsi="Arial"/>
                <w:b/>
                <w:bCs/>
                <w:color w:val="1F4E79"/>
                <w:sz w:val="22"/>
                <w:szCs w:val="22"/>
              </w:rPr>
              <w:t xml:space="preserve">Unit Aim</w:t>
            </w:r>
          </w:p>
          <w:p>
            <w:pPr>
              <w:spacing w:after="0" w:before="0"/>
            </w:pPr>
            <w:r>
              <w:rPr>
                <w:rFonts w:ascii="Arial" w:cs="Arial" w:eastAsia="Arial" w:hAnsi="Arial"/>
                <w:i/>
                <w:iCs/>
                <w:color w:val="2F2F2F"/>
                <w:sz w:val="22"/>
                <w:szCs w:val="22"/>
              </w:rPr>
              <w:t xml:space="preserve">To develop students' practical skills in designing, producing, and evaluating inclusive instructional materials — including documents, multimedia, interactive content, and digital activities — for use in Moodle-based blended learning environments.</w:t>
            </w:r>
          </w:p>
        </w:tc>
      </w:tr>
    </w:tbl>
    <w:p>
      <w:pPr>
        <w:spacing w:after="0" w:before="200"/>
      </w:pPr>
      <w:r>
        <w:t xml:space="preserve"/>
      </w:r>
    </w:p>
    <w:p>
      <w:pPr>
        <w:pStyle w:val="Heading2"/>
        <w:spacing w:after="100" w:before="280"/>
      </w:pPr>
      <w:r>
        <w:rPr>
          <w:rFonts w:ascii="Arial" w:cs="Arial" w:eastAsia="Arial" w:hAnsi="Arial"/>
          <w:b/>
          <w:bCs/>
          <w:color w:val="2E75B6"/>
          <w:sz w:val="28"/>
          <w:szCs w:val="28"/>
        </w:rPr>
        <w:t xml:space="preserve">Learning Outcomes</w:t>
      </w:r>
    </w:p>
    <w:p>
      <w:pPr>
        <w:spacing w:after="80" w:before="60"/>
      </w:pPr>
      <w:r>
        <w:rPr>
          <w:rFonts w:ascii="Arial" w:cs="Arial" w:eastAsia="Arial" w:hAnsi="Arial"/>
          <w:color w:val="2F2F2F"/>
          <w:sz w:val="22"/>
          <w:szCs w:val="22"/>
        </w:rPr>
        <w:t xml:space="preserve">Upon successful completion of this unit, students should be able to:</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8460"/>
      </w:tblGrid>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LO1</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Apply accessible document design principles to create inclusive written materials including course guides, assignment briefs, lecture notes, and reading lists.</w:t>
            </w:r>
          </w:p>
        </w:tc>
      </w:tr>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LO2</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Produce accessible multimedia content — including narrated presentations, instructional videos, and audio resources — that meets WCAG captioning, description, and contrast requirements.</w:t>
            </w:r>
          </w:p>
        </w:tc>
      </w:tr>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LO3</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Design inclusive interactive learning activities using H5P and Moodle tools, applying UDL principles of representation, action/expression, and engagement.</w:t>
            </w:r>
          </w:p>
        </w:tc>
      </w:tr>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LO4</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Evaluate a set of instructional materials against an inclusive design rubric and produce a revised, improved version with a written justification.</w:t>
            </w:r>
          </w:p>
        </w:tc>
      </w:tr>
    </w:tbl>
    <w:p>
      <w:pPr>
        <w:spacing w:after="0" w:before="200"/>
      </w:pPr>
      <w:r>
        <w:t xml:space="preserve"/>
      </w:r>
    </w:p>
    <w:p>
      <w:pPr>
        <w:pStyle w:val="Heading2"/>
        <w:spacing w:after="100" w:before="280"/>
      </w:pPr>
      <w:r>
        <w:rPr>
          <w:rFonts w:ascii="Arial" w:cs="Arial" w:eastAsia="Arial" w:hAnsi="Arial"/>
          <w:b/>
          <w:bCs/>
          <w:color w:val="2E75B6"/>
          <w:sz w:val="28"/>
          <w:szCs w:val="28"/>
        </w:rPr>
        <w:t xml:space="preserve">Introductory Activity</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single" w:color="F0A500" w:sz="1"/>
              <w:bottom w:val="single" w:color="F0A500" w:sz="1"/>
              <w:right w:val="single" w:color="F0A500" w:sz="1"/>
            </w:tcBorders>
            <w:shd w:fill="FFFDE7" w:val="clear"/>
            <w:tcMar>
              <w:top w:type="dxa" w:w="160"/>
              <w:left w:type="dxa" w:w="200"/>
              <w:bottom w:type="dxa" w:w="160"/>
              <w:right w:type="dxa" w:w="200"/>
            </w:tcMar>
          </w:tcPr>
          <w:p>
            <w:pPr>
              <w:spacing w:after="80" w:before="0"/>
            </w:pPr>
            <w:r>
              <w:rPr>
                <w:rFonts w:ascii="Arial" w:cs="Arial" w:eastAsia="Arial" w:hAnsi="Arial"/>
                <w:b/>
                <w:bCs/>
                <w:color w:val="8A6300"/>
                <w:sz w:val="22"/>
                <w:szCs w:val="22"/>
              </w:rPr>
              <w:t xml:space="preserve">Activity 4.0 — </w:t>
            </w:r>
            <w:r>
              <w:rPr>
                <w:rFonts w:ascii="Arial" w:cs="Arial" w:eastAsia="Arial" w:hAnsi="Arial"/>
                <w:b/>
                <w:bCs/>
                <w:color w:val="2F2F2F"/>
                <w:sz w:val="22"/>
                <w:szCs w:val="22"/>
              </w:rPr>
              <w:t xml:space="preserve">The 'Before' Gallery — Spotting Inaccessible Materials (In Class)</w:t>
            </w:r>
          </w:p>
          <w:p>
            <w:pPr>
              <w:spacing w:after="60" w:before="0"/>
            </w:pPr>
            <w:r>
              <w:rPr>
                <w:rFonts w:ascii="Arial" w:cs="Arial" w:eastAsia="Arial" w:hAnsi="Arial"/>
                <w:b/>
                <w:bCs/>
                <w:color w:val="2F2F2F"/>
                <w:sz w:val="22"/>
                <w:szCs w:val="22"/>
              </w:rPr>
              <w:t xml:space="preserve">Mode: </w:t>
            </w:r>
            <w:r>
              <w:rPr>
                <w:rFonts w:ascii="Arial" w:cs="Arial" w:eastAsia="Arial" w:hAnsi="Arial"/>
                <w:color w:val="2F2F2F"/>
                <w:sz w:val="22"/>
                <w:szCs w:val="22"/>
              </w:rPr>
              <w:t xml:space="preserve">Face-to-face (can be adapted for synchronous online with Moodle/Padlet)</w:t>
            </w:r>
          </w:p>
          <w:p>
            <w:pPr>
              <w:spacing w:after="60" w:before="0"/>
            </w:pPr>
            <w:r>
              <w:rPr>
                <w:rFonts w:ascii="Arial" w:cs="Arial" w:eastAsia="Arial" w:hAnsi="Arial"/>
                <w:b/>
                <w:bCs/>
                <w:color w:val="2F2F2F"/>
                <w:sz w:val="22"/>
                <w:szCs w:val="22"/>
              </w:rPr>
              <w:t xml:space="preserve">Duration: </w:t>
            </w:r>
            <w:r>
              <w:rPr>
                <w:rFonts w:ascii="Arial" w:cs="Arial" w:eastAsia="Arial" w:hAnsi="Arial"/>
                <w:color w:val="2F2F2F"/>
                <w:sz w:val="22"/>
                <w:szCs w:val="22"/>
              </w:rPr>
              <w:t xml:space="preserve">30 minutes</w:t>
            </w:r>
          </w:p>
          <w:p>
            <w:pPr>
              <w:spacing w:after="0" w:before="40"/>
            </w:pPr>
            <w:r>
              <w:t xml:space="preserve"/>
            </w:r>
          </w:p>
          <w:p>
            <w:pPr>
              <w:spacing w:after="80" w:before="60"/>
            </w:pPr>
            <w:r>
              <w:rPr>
                <w:rFonts w:ascii="Arial" w:cs="Arial" w:eastAsia="Arial" w:hAnsi="Arial"/>
                <w:color w:val="2F2F2F"/>
                <w:sz w:val="22"/>
                <w:szCs w:val="22"/>
              </w:rPr>
              <w:t xml:space="preserve">The facilitator pre-selects 6 examples of instructional materials with common accessibility problems and posts them in a shared digital space (e.g. Moodle page or Padlet). Examples should include:</w:t>
            </w:r>
          </w:p>
          <w:p>
            <w:pPr>
              <w:pStyle w:val="ListParagraph"/>
              <w:numPr>
                <w:ilvl w:val="0"/>
                <w:numId w:val="2"/>
              </w:numPr>
              <w:spacing w:after="40" w:before="40"/>
            </w:pPr>
            <w:r>
              <w:rPr>
                <w:rFonts w:ascii="Arial" w:cs="Arial" w:eastAsia="Arial" w:hAnsi="Arial"/>
                <w:color w:val="2F2F2F"/>
                <w:sz w:val="21"/>
                <w:szCs w:val="21"/>
              </w:rPr>
              <w:t xml:space="preserve">A scanned PDF lecture handout with no text layer (screen reader incompatible)</w:t>
            </w:r>
          </w:p>
          <w:p>
            <w:pPr>
              <w:pStyle w:val="ListParagraph"/>
              <w:numPr>
                <w:ilvl w:val="0"/>
                <w:numId w:val="2"/>
              </w:numPr>
              <w:spacing w:after="40" w:before="40"/>
            </w:pPr>
            <w:r>
              <w:rPr>
                <w:rFonts w:ascii="Arial" w:cs="Arial" w:eastAsia="Arial" w:hAnsi="Arial"/>
                <w:color w:val="2F2F2F"/>
                <w:sz w:val="21"/>
                <w:szCs w:val="21"/>
              </w:rPr>
              <w:t xml:space="preserve">A PowerPoint slide with text-only bullet points, small font, and no contrast between text and background</w:t>
            </w:r>
          </w:p>
          <w:p>
            <w:pPr>
              <w:pStyle w:val="ListParagraph"/>
              <w:numPr>
                <w:ilvl w:val="0"/>
                <w:numId w:val="2"/>
              </w:numPr>
              <w:spacing w:after="40" w:before="40"/>
            </w:pPr>
            <w:r>
              <w:rPr>
                <w:rFonts w:ascii="Arial" w:cs="Arial" w:eastAsia="Arial" w:hAnsi="Arial"/>
                <w:color w:val="2F2F2F"/>
                <w:sz w:val="21"/>
                <w:szCs w:val="21"/>
              </w:rPr>
              <w:t xml:space="preserve">A YouTube video embedded without captions</w:t>
            </w:r>
          </w:p>
          <w:p>
            <w:pPr>
              <w:pStyle w:val="ListParagraph"/>
              <w:numPr>
                <w:ilvl w:val="0"/>
                <w:numId w:val="2"/>
              </w:numPr>
              <w:spacing w:after="40" w:before="40"/>
            </w:pPr>
            <w:r>
              <w:rPr>
                <w:rFonts w:ascii="Arial" w:cs="Arial" w:eastAsia="Arial" w:hAnsi="Arial"/>
                <w:color w:val="2F2F2F"/>
                <w:sz w:val="21"/>
                <w:szCs w:val="21"/>
              </w:rPr>
              <w:t xml:space="preserve">An assignment brief written in dense academic language with 12 font, no headings, and full justification</w:t>
            </w:r>
          </w:p>
          <w:p>
            <w:pPr>
              <w:pStyle w:val="ListParagraph"/>
              <w:numPr>
                <w:ilvl w:val="0"/>
                <w:numId w:val="2"/>
              </w:numPr>
              <w:spacing w:after="40" w:before="40"/>
            </w:pPr>
            <w:r>
              <w:rPr>
                <w:rFonts w:ascii="Arial" w:cs="Arial" w:eastAsia="Arial" w:hAnsi="Arial"/>
                <w:color w:val="2F2F2F"/>
                <w:sz w:val="21"/>
                <w:szCs w:val="21"/>
              </w:rPr>
              <w:t xml:space="preserve">An H5P drag-and-drop activity (not keyboard navigable)</w:t>
            </w:r>
          </w:p>
          <w:p>
            <w:pPr>
              <w:pStyle w:val="ListParagraph"/>
              <w:numPr>
                <w:ilvl w:val="0"/>
                <w:numId w:val="2"/>
              </w:numPr>
              <w:spacing w:after="40" w:before="40"/>
            </w:pPr>
            <w:r>
              <w:rPr>
                <w:rFonts w:ascii="Arial" w:cs="Arial" w:eastAsia="Arial" w:hAnsi="Arial"/>
                <w:color w:val="2F2F2F"/>
                <w:sz w:val="21"/>
                <w:szCs w:val="21"/>
              </w:rPr>
              <w:t xml:space="preserve">A Moodle course page with 20+ files listed alphabetically with no structure or descriptions</w:t>
            </w:r>
          </w:p>
          <w:p>
            <w:pPr>
              <w:spacing w:after="0" w:before="60"/>
            </w:pPr>
            <w:r>
              <w:t xml:space="preserve"/>
            </w:r>
          </w:p>
          <w:p>
            <w:pPr>
              <w:spacing w:after="80" w:before="60"/>
            </w:pPr>
            <w:r>
              <w:rPr>
                <w:rFonts w:ascii="Arial" w:cs="Arial" w:eastAsia="Arial" w:hAnsi="Arial"/>
                <w:color w:val="2F2F2F"/>
                <w:sz w:val="22"/>
                <w:szCs w:val="22"/>
              </w:rPr>
              <w:t xml:space="preserve">Students rotate through the examples in pairs (5 minutes each, 2 examples each). For each, they identify: (a) the accessibility problem, (b) which learner group is most affected, (c) what fix is needed. Findings shared in a whole-class debrief. The facilitator introduces the four sections of the unit as the 'fix toolkit'.</w:t>
            </w:r>
          </w:p>
          <w:p>
            <w:pPr>
              <w:spacing w:after="0" w:before="40"/>
            </w:pPr>
            <w:r>
              <w:t xml:space="preserve"/>
            </w:r>
          </w:p>
          <w:p>
            <w:pPr>
              <w:spacing w:after="0" w:before="0"/>
            </w:pPr>
            <w:r>
              <w:rPr>
                <w:rFonts w:ascii="Arial" w:cs="Arial" w:eastAsia="Arial" w:hAnsi="Arial"/>
                <w:b/>
                <w:bCs/>
                <w:color w:val="8A6300"/>
                <w:sz w:val="20"/>
                <w:szCs w:val="20"/>
              </w:rPr>
              <w:t xml:space="preserve">Links to Learning Outcomes: LO1, LO2, LO3</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1: </w:t>
            </w:r>
            <w:r>
              <w:rPr>
                <w:rFonts w:ascii="Arial" w:cs="Arial" w:eastAsia="Arial" w:hAnsi="Arial"/>
                <w:color w:val="BDD7EE"/>
                <w:sz w:val="26"/>
                <w:szCs w:val="26"/>
              </w:rPr>
              <w:t xml:space="preserve">Accessible Document Design</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1.1 Principles of Accessible Document Design</w:t>
      </w:r>
    </w:p>
    <w:p>
      <w:pPr>
        <w:spacing w:after="80" w:before="60"/>
      </w:pPr>
      <w:r>
        <w:rPr>
          <w:rFonts w:ascii="Arial" w:cs="Arial" w:eastAsia="Arial" w:hAnsi="Arial"/>
          <w:color w:val="2F2F2F"/>
          <w:sz w:val="22"/>
          <w:szCs w:val="22"/>
        </w:rPr>
        <w:t xml:space="preserve">Every document uploaded to a Moodle course — whether a lecture handout, assignment brief, reading list, or course guide — is an instructional material. Inaccessible documents are one of the most common and most preventable barriers in online learning. The following principles apply regardless of the file format used:</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Principle</w:t>
            </w:r>
          </w:p>
        </w:tc>
        <w:tc>
          <w:tcPr>
            <w:tcW w:type="dxa" w:w="328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Why It Matters</w:t>
            </w:r>
          </w:p>
        </w:tc>
        <w:tc>
          <w:tcPr>
            <w:tcW w:type="dxa" w:w="328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How to Apply It</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Logical structure</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Screen readers navigate documents by heading structure; without it, the document is a wall of undifferentiated text</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Use Heading 1, 2, 3 styles in Word/Google Docs — never bold+enlarge plain text to fake headings</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Font and typography</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Serif fonts, small sizes, and justified alignment increase reading difficulty for dyslexic learners</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Use Arial, Calibri, or Verdana at 12–14pt; left-align text; use 1.5× line spacing; avoid underlining non-links</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Colour and contrast</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8% of men have colour vision deficiency; low-contrast text excludes partially sighted learners</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Ensure 4.5:1 contrast ratio (WCAG AA); never use colour alone to convey meaning; use WebAIM Contrast Checker</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Plain language</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Complex academic language excludes non-native speakers and learners with cognitive differences</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Aim for Flesch-Kincaid Grade 10–12 for instructional text; define jargon; use active voice; short sentences</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Tagged PDF</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Untagged or scanned PDFs are invisible to screen readers</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Export tagged PDFs from Word (Save As PDF → Options → Document Structure Tags); never upload scanned image PDFs</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Alt text on images</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Images, charts, and diagrams in documents are invisible to screen reader users without Alt text</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Right-click image in Word → Edit Alt Text → write a meaningful description; mark decorative images as decorative</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Hyperlinks</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'Click here' and raw URLs are not meaningful to screen reader users who navigate by links</w:t>
            </w:r>
          </w:p>
        </w:tc>
        <w:tc>
          <w:tcPr>
            <w:tcW w:type="dxa" w:w="32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Write descriptive link text: 'Download the Assignment 1 Brief' not 'Click here'</w:t>
            </w:r>
          </w:p>
        </w:tc>
      </w:tr>
    </w:tbl>
    <w:p>
      <w:pPr>
        <w:spacing w:after="0" w:before="80"/>
      </w:pPr>
      <w:r>
        <w:t xml:space="preserve"/>
      </w:r>
    </w:p>
    <w:p>
      <w:pPr>
        <w:pStyle w:val="Heading3"/>
        <w:spacing w:after="80" w:before="200"/>
      </w:pPr>
      <w:r>
        <w:rPr>
          <w:rFonts w:ascii="Arial" w:cs="Arial" w:eastAsia="Arial" w:hAnsi="Arial"/>
          <w:b/>
          <w:bCs/>
          <w:color w:val="1F4E79"/>
          <w:sz w:val="24"/>
          <w:szCs w:val="24"/>
        </w:rPr>
        <w:t xml:space="preserve">1.2 Accessible PowerPoint / Slide Design</w:t>
      </w:r>
    </w:p>
    <w:p>
      <w:pPr>
        <w:spacing w:after="80" w:before="60"/>
      </w:pPr>
      <w:r>
        <w:rPr>
          <w:rFonts w:ascii="Arial" w:cs="Arial" w:eastAsia="Arial" w:hAnsi="Arial"/>
          <w:color w:val="2F2F2F"/>
          <w:sz w:val="22"/>
          <w:szCs w:val="22"/>
        </w:rPr>
        <w:t xml:space="preserve">Lecture slides are among the most widely used instructional materials in higher education — and among the most commonly inaccessible. Key principles for accessible slide design:</w:t>
      </w:r>
    </w:p>
    <w:p>
      <w:pPr>
        <w:pStyle w:val="ListParagraph"/>
        <w:numPr>
          <w:ilvl w:val="0"/>
          <w:numId w:val="3"/>
        </w:numPr>
        <w:spacing w:after="40" w:before="40"/>
      </w:pPr>
      <w:r>
        <w:rPr>
          <w:rFonts w:ascii="Arial" w:cs="Arial" w:eastAsia="Arial" w:hAnsi="Arial"/>
          <w:b/>
          <w:bCs/>
          <w:color w:val="2F2F2F"/>
          <w:sz w:val="22"/>
          <w:szCs w:val="22"/>
        </w:rPr>
        <w:t xml:space="preserve">Slide titles: Every slide must have a unique, descriptive title. Screen readers announce slide titles; duplicate or missing titles disorient users.</w:t>
      </w:r>
    </w:p>
    <w:p>
      <w:pPr>
        <w:pStyle w:val="ListParagraph"/>
        <w:numPr>
          <w:ilvl w:val="0"/>
          <w:numId w:val="3"/>
        </w:numPr>
        <w:spacing w:after="40" w:before="40"/>
      </w:pPr>
      <w:r>
        <w:rPr>
          <w:rFonts w:ascii="Arial" w:cs="Arial" w:eastAsia="Arial" w:hAnsi="Arial"/>
          <w:b/>
          <w:bCs/>
          <w:color w:val="2F2F2F"/>
          <w:sz w:val="22"/>
          <w:szCs w:val="22"/>
        </w:rPr>
        <w:t xml:space="preserve">Reading order: Use the Selection Pane in PowerPoint (Home → Arrange → Selection Pane) to verify that screen readers will read content in the intended order.</w:t>
      </w:r>
    </w:p>
    <w:p>
      <w:pPr>
        <w:pStyle w:val="ListParagraph"/>
        <w:numPr>
          <w:ilvl w:val="0"/>
          <w:numId w:val="3"/>
        </w:numPr>
        <w:spacing w:after="40" w:before="40"/>
      </w:pPr>
      <w:r>
        <w:rPr>
          <w:rFonts w:ascii="Arial" w:cs="Arial" w:eastAsia="Arial" w:hAnsi="Arial"/>
          <w:b/>
          <w:bCs/>
          <w:color w:val="2F2F2F"/>
          <w:sz w:val="22"/>
          <w:szCs w:val="22"/>
        </w:rPr>
        <w:t xml:space="preserve">Font size: Minimum 24pt for body text; 36pt+ for titles. Use high-contrast colour schemes.</w:t>
      </w:r>
    </w:p>
    <w:p>
      <w:pPr>
        <w:pStyle w:val="ListParagraph"/>
        <w:numPr>
          <w:ilvl w:val="0"/>
          <w:numId w:val="3"/>
        </w:numPr>
        <w:spacing w:after="40" w:before="40"/>
      </w:pPr>
      <w:r>
        <w:rPr>
          <w:rFonts w:ascii="Arial" w:cs="Arial" w:eastAsia="Arial" w:hAnsi="Arial"/>
          <w:b/>
          <w:bCs/>
          <w:color w:val="2F2F2F"/>
          <w:sz w:val="22"/>
          <w:szCs w:val="22"/>
        </w:rPr>
        <w:t xml:space="preserve">Animations and transitions: Avoid animations that convey information (e.g. text appearing in sequence) without a static alternative. Provide a PDF version of all slides.</w:t>
      </w:r>
    </w:p>
    <w:p>
      <w:pPr>
        <w:pStyle w:val="ListParagraph"/>
        <w:numPr>
          <w:ilvl w:val="0"/>
          <w:numId w:val="3"/>
        </w:numPr>
        <w:spacing w:after="40" w:before="40"/>
      </w:pPr>
      <w:r>
        <w:rPr>
          <w:rFonts w:ascii="Arial" w:cs="Arial" w:eastAsia="Arial" w:hAnsi="Arial"/>
          <w:b/>
          <w:bCs/>
          <w:color w:val="2F2F2F"/>
          <w:sz w:val="22"/>
          <w:szCs w:val="22"/>
        </w:rPr>
        <w:t xml:space="preserve">Table accessibility: Use PowerPoint's built-in table tool; mark header rows; keep tables simple (no merged cells).</w:t>
      </w:r>
    </w:p>
    <w:p>
      <w:pPr>
        <w:pStyle w:val="ListParagraph"/>
        <w:numPr>
          <w:ilvl w:val="0"/>
          <w:numId w:val="3"/>
        </w:numPr>
        <w:spacing w:after="40" w:before="40"/>
      </w:pPr>
      <w:r>
        <w:rPr>
          <w:rFonts w:ascii="Arial" w:cs="Arial" w:eastAsia="Arial" w:hAnsi="Arial"/>
          <w:b/>
          <w:bCs/>
          <w:color w:val="2F2F2F"/>
          <w:sz w:val="22"/>
          <w:szCs w:val="22"/>
        </w:rPr>
        <w:t xml:space="preserve">Speaker notes: Write comprehensive speaker notes for every slide so that learners using the PDF version (without audio narration) can follow the full content.</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1"/>
              <w:left w:val="single" w:color="C55A11" w:sz="1"/>
              <w:bottom w:val="single" w:color="C55A11" w:sz="1"/>
              <w:right w:val="single" w:color="C55A11" w:sz="1"/>
            </w:tcBorders>
            <w:shd w:fill="FCE4D6" w:val="clear"/>
            <w:tcMar>
              <w:top w:type="dxa" w:w="160"/>
              <w:left w:type="dxa" w:w="200"/>
              <w:bottom w:type="dxa" w:w="160"/>
              <w:right w:type="dxa" w:w="200"/>
            </w:tcMar>
          </w:tcPr>
          <w:p>
            <w:pPr>
              <w:spacing w:after="80" w:before="0"/>
            </w:pPr>
            <w:r>
              <w:rPr>
                <w:rFonts w:ascii="Arial" w:cs="Arial" w:eastAsia="Arial" w:hAnsi="Arial"/>
                <w:b/>
                <w:bCs/>
                <w:color w:val="C55A11"/>
                <w:sz w:val="22"/>
                <w:szCs w:val="22"/>
              </w:rPr>
              <w:t xml:space="preserve">Quick Win — The Microsoft Accessibility Checker</w:t>
            </w:r>
          </w:p>
          <w:p>
            <w:pPr>
              <w:spacing w:after="80" w:before="60"/>
            </w:pPr>
            <w:r>
              <w:rPr>
                <w:rFonts w:ascii="Arial" w:cs="Arial" w:eastAsia="Arial" w:hAnsi="Arial"/>
                <w:color w:val="2F2F2F"/>
                <w:sz w:val="22"/>
                <w:szCs w:val="22"/>
              </w:rPr>
              <w:t xml:space="preserve">Both Microsoft Word and PowerPoint include a built-in Accessibility Checker (Review tab → Check Accessibility). Run this check on every document before uploading to Moodle. It identifies missing Alt text, poor contrast, reading order issues, and missing slide titles, and suggests fixes for each error.</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2: </w:t>
            </w:r>
            <w:r>
              <w:rPr>
                <w:rFonts w:ascii="Arial" w:cs="Arial" w:eastAsia="Arial" w:hAnsi="Arial"/>
                <w:color w:val="BDD7EE"/>
                <w:sz w:val="26"/>
                <w:szCs w:val="26"/>
              </w:rPr>
              <w:t xml:space="preserve">Accessible Multimedia Production</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2.1 Principles of Accessible Video Production</w:t>
      </w:r>
    </w:p>
    <w:p>
      <w:pPr>
        <w:spacing w:after="80" w:before="60"/>
      </w:pPr>
      <w:r>
        <w:rPr>
          <w:rFonts w:ascii="Arial" w:cs="Arial" w:eastAsia="Arial" w:hAnsi="Arial"/>
          <w:color w:val="2F2F2F"/>
          <w:sz w:val="22"/>
          <w:szCs w:val="22"/>
        </w:rPr>
        <w:t xml:space="preserve">Video is one of the most powerful instructional formats in e-learning — and one of the most inaccessible when produced without forethought. Three layers of accessibility are required for every instructional video:</w:t>
      </w:r>
    </w:p>
    <w:p>
      <w:pPr>
        <w:spacing w:after="0" w:before="60"/>
      </w:pPr>
      <w:r>
        <w:t xml:space="preserve"/>
      </w:r>
    </w:p>
    <w:p>
      <w:pPr>
        <w:pStyle w:val="ListParagraph"/>
        <w:numPr>
          <w:ilvl w:val="0"/>
          <w:numId w:val="3"/>
        </w:numPr>
        <w:spacing w:after="40" w:before="40"/>
      </w:pPr>
      <w:r>
        <w:rPr>
          <w:rFonts w:ascii="Arial" w:cs="Arial" w:eastAsia="Arial" w:hAnsi="Arial"/>
          <w:b/>
          <w:bCs/>
          <w:color w:val="2F2F2F"/>
          <w:sz w:val="22"/>
          <w:szCs w:val="22"/>
        </w:rPr>
        <w:t xml:space="preserve">Captions (mandatory): Accurate captions for all spoken content, including speaker identification where multiple speakers are present. Review all auto-generated captions before publishing — they typically require correction for technical terminology, names, and accented speech.</w:t>
      </w:r>
    </w:p>
    <w:p>
      <w:pPr>
        <w:pStyle w:val="ListParagraph"/>
        <w:numPr>
          <w:ilvl w:val="0"/>
          <w:numId w:val="3"/>
        </w:numPr>
        <w:spacing w:after="40" w:before="40"/>
      </w:pPr>
      <w:r>
        <w:rPr>
          <w:rFonts w:ascii="Arial" w:cs="Arial" w:eastAsia="Arial" w:hAnsi="Arial"/>
          <w:b/>
          <w:bCs/>
          <w:color w:val="2F2F2F"/>
          <w:sz w:val="22"/>
          <w:szCs w:val="22"/>
        </w:rPr>
        <w:t xml:space="preserve">Audio descriptions (for visual content): A narrated description of all visually conveyed information (diagrams, on-screen demonstrations, text appearing on screen) that is not already described in the narration. Can be provided as a separate described audio track or a descriptive transcript.</w:t>
      </w:r>
    </w:p>
    <w:p>
      <w:pPr>
        <w:pStyle w:val="ListParagraph"/>
        <w:numPr>
          <w:ilvl w:val="0"/>
          <w:numId w:val="3"/>
        </w:numPr>
        <w:spacing w:after="40" w:before="40"/>
      </w:pPr>
      <w:r>
        <w:rPr>
          <w:rFonts w:ascii="Arial" w:cs="Arial" w:eastAsia="Arial" w:hAnsi="Arial"/>
          <w:b/>
          <w:bCs/>
          <w:color w:val="2F2F2F"/>
          <w:sz w:val="22"/>
          <w:szCs w:val="22"/>
        </w:rPr>
        <w:t xml:space="preserve">Transcript (downloadable): A full text transcript of all audio and visual content in the video, formatted accessibly (as an HTML page or tagged Word document — not a scanned PDF). Transcripts also benefit low-bandwidth learners who cannot stream video.</w:t>
      </w:r>
    </w:p>
    <w:p>
      <w:pPr>
        <w:spacing w:after="0" w:before="80"/>
      </w:pPr>
      <w:r>
        <w:t xml:space="preserve"/>
      </w:r>
    </w:p>
    <w:p>
      <w:pPr>
        <w:pStyle w:val="Heading3"/>
        <w:spacing w:after="80" w:before="200"/>
      </w:pPr>
      <w:r>
        <w:rPr>
          <w:rFonts w:ascii="Arial" w:cs="Arial" w:eastAsia="Arial" w:hAnsi="Arial"/>
          <w:b/>
          <w:bCs/>
          <w:color w:val="1F4E79"/>
          <w:sz w:val="24"/>
          <w:szCs w:val="24"/>
        </w:rPr>
        <w:t xml:space="preserve">2.2 Producing Accessible Narrated Presentations</w:t>
      </w:r>
    </w:p>
    <w:p>
      <w:pPr>
        <w:spacing w:after="80" w:before="60"/>
      </w:pPr>
      <w:r>
        <w:rPr>
          <w:rFonts w:ascii="Arial" w:cs="Arial" w:eastAsia="Arial" w:hAnsi="Arial"/>
          <w:color w:val="2F2F2F"/>
          <w:sz w:val="22"/>
          <w:szCs w:val="22"/>
        </w:rPr>
        <w:t xml:space="preserve">Narrated slide presentations (using tools such as PowerPoint Record, Kaltura Capture, or Panopto) are the most common video format in blended learning. Production checklist:</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5060"/>
        <w:gridCol w:w="3800"/>
      </w:tblGrid>
      <w:tr>
        <w:tc>
          <w:tcPr>
            <w:tcW w:type="dxa" w:w="500"/>
            <w:tcBorders>
              <w:top w:val="single" w:color="2E75B6" w:sz="1"/>
              <w:left w:val="single" w:color="2E75B6" w:sz="1"/>
              <w:bottom w:val="single" w:color="2E75B6" w:sz="1"/>
              <w:right w:val="single" w:color="2E75B6" w:sz="1"/>
            </w:tcBorders>
            <w:shd w:fill="2E75B6" w:val="clear"/>
            <w:tcMar>
              <w:top w:type="dxa" w:w="100"/>
              <w:left w:type="dxa" w:w="80"/>
              <w:bottom w:type="dxa" w:w="100"/>
              <w:right w:type="dxa" w:w="80"/>
            </w:tcMar>
          </w:tcPr>
          <w:p>
            <w:pPr>
              <w:jc w:val="center"/>
            </w:pPr>
            <w:r>
              <w:rPr>
                <w:rFonts w:ascii="Arial" w:cs="Arial" w:eastAsia="Arial" w:hAnsi="Arial"/>
                <w:b/>
                <w:bCs/>
                <w:color w:val="FFFFFF"/>
                <w:sz w:val="21"/>
                <w:szCs w:val="21"/>
              </w:rPr>
              <w:t xml:space="preserve"/>
            </w:r>
          </w:p>
        </w:tc>
        <w:tc>
          <w:tcPr>
            <w:tcW w:type="dxa" w:w="5060"/>
            <w:tcBorders>
              <w:top w:val="single" w:color="2E75B6" w:sz="1"/>
              <w:left w:val="single" w:color="2E75B6" w:sz="1"/>
              <w:bottom w:val="single" w:color="2E75B6" w:sz="1"/>
              <w:right w:val="single" w:color="2E75B6" w:sz="1"/>
            </w:tcBorders>
            <w:shd w:fill="2E75B6"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Checklist Item</w:t>
            </w:r>
          </w:p>
        </w:tc>
        <w:tc>
          <w:tcPr>
            <w:tcW w:type="dxa" w:w="3800"/>
            <w:tcBorders>
              <w:top w:val="single" w:color="2E75B6" w:sz="1"/>
              <w:left w:val="single" w:color="2E75B6" w:sz="1"/>
              <w:bottom w:val="single" w:color="2E75B6" w:sz="1"/>
              <w:right w:val="single" w:color="2E75B6" w:sz="1"/>
            </w:tcBorders>
            <w:shd w:fill="2E75B6"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Tool / How To</w:t>
            </w:r>
          </w:p>
        </w:tc>
      </w:tr>
      <w:tr>
        <w:tc>
          <w:tcPr>
            <w:tcW w:type="dxa" w:w="5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Pre-production</w:t>
            </w:r>
          </w:p>
        </w:tc>
        <w:tc>
          <w:tcPr>
            <w:tcW w:type="dxa" w:w="506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Prepare a full script or detailed speaker notes before recording — this ensures the narration covers all visual content</w:t>
            </w:r>
          </w:p>
        </w:tc>
        <w:tc>
          <w:tcPr>
            <w:tcW w:type="dxa" w:w="3800"/>
            <w:tcBorders>
              <w:top w:val="single" w:color="AABDD4" w:sz="1"/>
              <w:left w:val="single" w:color="AABDD4" w:sz="1"/>
              <w:bottom w:val="single" w:color="AABDD4" w:sz="1"/>
              <w:right w:val="single" w:color="AABDD4" w:sz="1"/>
            </w:tcBorders>
            <w:shd w:fill="F7FBFF" w:val="clear"/>
            <w:tcMar>
              <w:top w:type="dxa" w:w="90"/>
              <w:left w:type="dxa" w:w="160"/>
              <w:bottom w:type="dxa" w:w="90"/>
              <w:right w:type="dxa" w:w="160"/>
            </w:tcMar>
          </w:tcPr>
          <w:p>
            <w:r>
              <w:rPr>
                <w:rFonts w:ascii="Arial" w:cs="Arial" w:eastAsia="Arial" w:hAnsi="Arial"/>
                <w:b w:val="false"/>
                <w:bCs w:val="false"/>
                <w:i/>
                <w:iCs/>
                <w:color w:val="595959"/>
                <w:sz w:val="20"/>
                <w:szCs w:val="20"/>
              </w:rPr>
              <w:t xml:space="preserve">Word or Google Docs script; PowerPoint speaker notes</w:t>
            </w:r>
          </w:p>
        </w:tc>
      </w:tr>
      <w:tr>
        <w:tc>
          <w:tcPr>
            <w:tcW w:type="dxa" w:w="5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Recording environment</w:t>
            </w:r>
          </w:p>
        </w:tc>
        <w:tc>
          <w:tcPr>
            <w:tcW w:type="dxa" w:w="506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Use a quiet space; speak clearly at a moderate pace; avoid rushing through slides</w:t>
            </w:r>
          </w:p>
        </w:tc>
        <w:tc>
          <w:tcPr>
            <w:tcW w:type="dxa" w:w="38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iCs/>
                <w:color w:val="595959"/>
                <w:sz w:val="20"/>
                <w:szCs w:val="20"/>
              </w:rPr>
              <w:t xml:space="preserve">USB microphone; quiet room; test audio levels before full recording</w:t>
            </w:r>
          </w:p>
        </w:tc>
      </w:tr>
      <w:tr>
        <w:tc>
          <w:tcPr>
            <w:tcW w:type="dxa" w:w="5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Slide accessibility</w:t>
            </w:r>
          </w:p>
        </w:tc>
        <w:tc>
          <w:tcPr>
            <w:tcW w:type="dxa" w:w="506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Ensure slides meet Section 1.2 standards before recording</w:t>
            </w:r>
          </w:p>
        </w:tc>
        <w:tc>
          <w:tcPr>
            <w:tcW w:type="dxa" w:w="3800"/>
            <w:tcBorders>
              <w:top w:val="single" w:color="AABDD4" w:sz="1"/>
              <w:left w:val="single" w:color="AABDD4" w:sz="1"/>
              <w:bottom w:val="single" w:color="AABDD4" w:sz="1"/>
              <w:right w:val="single" w:color="AABDD4" w:sz="1"/>
            </w:tcBorders>
            <w:shd w:fill="F7FBFF" w:val="clear"/>
            <w:tcMar>
              <w:top w:type="dxa" w:w="90"/>
              <w:left w:type="dxa" w:w="160"/>
              <w:bottom w:type="dxa" w:w="90"/>
              <w:right w:type="dxa" w:w="160"/>
            </w:tcMar>
          </w:tcPr>
          <w:p>
            <w:r>
              <w:rPr>
                <w:rFonts w:ascii="Arial" w:cs="Arial" w:eastAsia="Arial" w:hAnsi="Arial"/>
                <w:b w:val="false"/>
                <w:bCs w:val="false"/>
                <w:i/>
                <w:iCs/>
                <w:color w:val="595959"/>
                <w:sz w:val="20"/>
                <w:szCs w:val="20"/>
              </w:rPr>
              <w:t xml:space="preserve">Microsoft Accessibility Checker; minimum 24pt font; high contrast</w:t>
            </w:r>
          </w:p>
        </w:tc>
      </w:tr>
      <w:tr>
        <w:tc>
          <w:tcPr>
            <w:tcW w:type="dxa" w:w="5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Captioning</w:t>
            </w:r>
          </w:p>
        </w:tc>
        <w:tc>
          <w:tcPr>
            <w:tcW w:type="dxa" w:w="506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Upload to YouTube or Kaltura; review and correct auto-captions before publishing</w:t>
            </w:r>
          </w:p>
        </w:tc>
        <w:tc>
          <w:tcPr>
            <w:tcW w:type="dxa" w:w="38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iCs/>
                <w:color w:val="595959"/>
                <w:sz w:val="20"/>
                <w:szCs w:val="20"/>
              </w:rPr>
              <w:t xml:space="preserve">YouTube Studio caption editor; Kaltura caption review; Amara.org for manual captioning</w:t>
            </w:r>
          </w:p>
        </w:tc>
      </w:tr>
      <w:tr>
        <w:tc>
          <w:tcPr>
            <w:tcW w:type="dxa" w:w="5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Transcript</w:t>
            </w:r>
          </w:p>
        </w:tc>
        <w:tc>
          <w:tcPr>
            <w:tcW w:type="dxa" w:w="506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Export the corrected captions as a .txt or .srt file; format as a Word document with timestamps</w:t>
            </w:r>
          </w:p>
        </w:tc>
        <w:tc>
          <w:tcPr>
            <w:tcW w:type="dxa" w:w="3800"/>
            <w:tcBorders>
              <w:top w:val="single" w:color="AABDD4" w:sz="1"/>
              <w:left w:val="single" w:color="AABDD4" w:sz="1"/>
              <w:bottom w:val="single" w:color="AABDD4" w:sz="1"/>
              <w:right w:val="single" w:color="AABDD4" w:sz="1"/>
            </w:tcBorders>
            <w:shd w:fill="F7FBFF" w:val="clear"/>
            <w:tcMar>
              <w:top w:type="dxa" w:w="90"/>
              <w:left w:type="dxa" w:w="160"/>
              <w:bottom w:type="dxa" w:w="90"/>
              <w:right w:type="dxa" w:w="160"/>
            </w:tcMar>
          </w:tcPr>
          <w:p>
            <w:r>
              <w:rPr>
                <w:rFonts w:ascii="Arial" w:cs="Arial" w:eastAsia="Arial" w:hAnsi="Arial"/>
                <w:b w:val="false"/>
                <w:bCs w:val="false"/>
                <w:i/>
                <w:iCs/>
                <w:color w:val="595959"/>
                <w:sz w:val="20"/>
                <w:szCs w:val="20"/>
              </w:rPr>
              <w:t xml:space="preserve">YouTube 'Download transcript'; Otter.ai; Rev.com</w:t>
            </w:r>
          </w:p>
        </w:tc>
      </w:tr>
      <w:tr>
        <w:tc>
          <w:tcPr>
            <w:tcW w:type="dxa" w:w="5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Chunking</w:t>
            </w:r>
          </w:p>
        </w:tc>
        <w:tc>
          <w:tcPr>
            <w:tcW w:type="dxa" w:w="506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Keep each video to 8–12 minutes maximum; break longer content into a series with clear titles</w:t>
            </w:r>
          </w:p>
        </w:tc>
        <w:tc>
          <w:tcPr>
            <w:tcW w:type="dxa" w:w="38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iCs/>
                <w:color w:val="595959"/>
                <w:sz w:val="20"/>
                <w:szCs w:val="20"/>
              </w:rPr>
              <w:t xml:space="preserve">Record in sections; use Panopto chapters to add navigation markers</w:t>
            </w:r>
          </w:p>
        </w:tc>
      </w:tr>
      <w:tr>
        <w:tc>
          <w:tcPr>
            <w:tcW w:type="dxa" w:w="5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Low-bandwidth version</w:t>
            </w:r>
          </w:p>
        </w:tc>
        <w:tc>
          <w:tcPr>
            <w:tcW w:type="dxa" w:w="506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Export a compressed version at 360p or 480p as a downloadable file for learners with limited connectivity</w:t>
            </w:r>
          </w:p>
        </w:tc>
        <w:tc>
          <w:tcPr>
            <w:tcW w:type="dxa" w:w="3800"/>
            <w:tcBorders>
              <w:top w:val="single" w:color="AABDD4" w:sz="1"/>
              <w:left w:val="single" w:color="AABDD4" w:sz="1"/>
              <w:bottom w:val="single" w:color="AABDD4" w:sz="1"/>
              <w:right w:val="single" w:color="AABDD4" w:sz="1"/>
            </w:tcBorders>
            <w:shd w:fill="F7FBFF" w:val="clear"/>
            <w:tcMar>
              <w:top w:type="dxa" w:w="90"/>
              <w:left w:type="dxa" w:w="160"/>
              <w:bottom w:type="dxa" w:w="90"/>
              <w:right w:type="dxa" w:w="160"/>
            </w:tcMar>
          </w:tcPr>
          <w:p>
            <w:r>
              <w:rPr>
                <w:rFonts w:ascii="Arial" w:cs="Arial" w:eastAsia="Arial" w:hAnsi="Arial"/>
                <w:b w:val="false"/>
                <w:bCs w:val="false"/>
                <w:i/>
                <w:iCs/>
                <w:color w:val="595959"/>
                <w:sz w:val="20"/>
                <w:szCs w:val="20"/>
              </w:rPr>
              <w:t xml:space="preserve">HandBrake (free); OBS Studio</w:t>
            </w:r>
          </w:p>
        </w:tc>
      </w:tr>
    </w:tbl>
    <w:p>
      <w:pPr>
        <w:spacing w:after="0" w:before="80"/>
      </w:pPr>
      <w:r>
        <w:t xml:space="preserve"/>
      </w:r>
    </w:p>
    <w:p>
      <w:pPr>
        <w:pStyle w:val="Heading3"/>
        <w:spacing w:after="80" w:before="200"/>
      </w:pPr>
      <w:r>
        <w:rPr>
          <w:rFonts w:ascii="Arial" w:cs="Arial" w:eastAsia="Arial" w:hAnsi="Arial"/>
          <w:b/>
          <w:bCs/>
          <w:color w:val="1F4E79"/>
          <w:sz w:val="24"/>
          <w:szCs w:val="24"/>
        </w:rPr>
        <w:t xml:space="preserve">2.3 Accessible Audio Resources</w:t>
      </w:r>
    </w:p>
    <w:p>
      <w:pPr>
        <w:spacing w:after="80" w:before="60"/>
      </w:pPr>
      <w:r>
        <w:rPr>
          <w:rFonts w:ascii="Arial" w:cs="Arial" w:eastAsia="Arial" w:hAnsi="Arial"/>
          <w:color w:val="2F2F2F"/>
          <w:sz w:val="22"/>
          <w:szCs w:val="22"/>
        </w:rPr>
        <w:t xml:space="preserve">Audio resources (podcasts, recorded discussions, audio lectures) are excellent low-bandwidth alternatives to video. Accessibility requirements:</w:t>
      </w:r>
    </w:p>
    <w:p>
      <w:pPr>
        <w:pStyle w:val="ListParagraph"/>
        <w:numPr>
          <w:ilvl w:val="0"/>
          <w:numId w:val="3"/>
        </w:numPr>
        <w:spacing w:after="40" w:before="40"/>
      </w:pPr>
      <w:r>
        <w:rPr>
          <w:rFonts w:ascii="Arial" w:cs="Arial" w:eastAsia="Arial" w:hAnsi="Arial"/>
          <w:b w:val="false"/>
          <w:bCs w:val="false"/>
          <w:color w:val="2F2F2F"/>
          <w:sz w:val="22"/>
          <w:szCs w:val="22"/>
        </w:rPr>
        <w:t xml:space="preserve">Always provide a full text transcript alongside any audio resource.</w:t>
      </w:r>
    </w:p>
    <w:p>
      <w:pPr>
        <w:pStyle w:val="ListParagraph"/>
        <w:numPr>
          <w:ilvl w:val="0"/>
          <w:numId w:val="3"/>
        </w:numPr>
        <w:spacing w:after="40" w:before="40"/>
      </w:pPr>
      <w:r>
        <w:rPr>
          <w:rFonts w:ascii="Arial" w:cs="Arial" w:eastAsia="Arial" w:hAnsi="Arial"/>
          <w:b w:val="false"/>
          <w:bCs w:val="false"/>
          <w:color w:val="2F2F2F"/>
          <w:sz w:val="22"/>
          <w:szCs w:val="22"/>
        </w:rPr>
        <w:t xml:space="preserve">Upload audio as an MP3 file to Moodle (not embedded in a platform that may be inaccessible).</w:t>
      </w:r>
    </w:p>
    <w:p>
      <w:pPr>
        <w:pStyle w:val="ListParagraph"/>
        <w:numPr>
          <w:ilvl w:val="0"/>
          <w:numId w:val="3"/>
        </w:numPr>
        <w:spacing w:after="40" w:before="40"/>
      </w:pPr>
      <w:r>
        <w:rPr>
          <w:rFonts w:ascii="Arial" w:cs="Arial" w:eastAsia="Arial" w:hAnsi="Arial"/>
          <w:b w:val="false"/>
          <w:bCs w:val="false"/>
          <w:color w:val="2F2F2F"/>
          <w:sz w:val="22"/>
          <w:szCs w:val="22"/>
        </w:rPr>
        <w:t xml:space="preserve">Label the audio resource clearly with the topic, duration, and a link to the transcript.</w:t>
      </w:r>
    </w:p>
    <w:p>
      <w:pPr>
        <w:pStyle w:val="ListParagraph"/>
        <w:numPr>
          <w:ilvl w:val="0"/>
          <w:numId w:val="3"/>
        </w:numPr>
        <w:spacing w:after="40" w:before="40"/>
      </w:pPr>
      <w:r>
        <w:rPr>
          <w:rFonts w:ascii="Arial" w:cs="Arial" w:eastAsia="Arial" w:hAnsi="Arial"/>
          <w:b w:val="false"/>
          <w:bCs w:val="false"/>
          <w:color w:val="2F2F2F"/>
          <w:sz w:val="22"/>
          <w:szCs w:val="22"/>
        </w:rPr>
        <w:t xml:space="preserve">Ensure audio quality is sufficient — background noise, low volume, or unclear speech are barriers for all learners, especially those with hearing impairments using hearing aids.</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3: </w:t>
            </w:r>
            <w:r>
              <w:rPr>
                <w:rFonts w:ascii="Arial" w:cs="Arial" w:eastAsia="Arial" w:hAnsi="Arial"/>
                <w:color w:val="BDD7EE"/>
                <w:sz w:val="26"/>
                <w:szCs w:val="26"/>
              </w:rPr>
              <w:t xml:space="preserve">Designing Inclusive Interactive Learning Activities</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3.1 Interactive Content and UDL</w:t>
      </w:r>
    </w:p>
    <w:p>
      <w:pPr>
        <w:spacing w:after="80" w:before="60"/>
      </w:pPr>
      <w:r>
        <w:rPr>
          <w:rFonts w:ascii="Arial" w:cs="Arial" w:eastAsia="Arial" w:hAnsi="Arial"/>
          <w:color w:val="2F2F2F"/>
          <w:sz w:val="22"/>
          <w:szCs w:val="22"/>
        </w:rPr>
        <w:t xml:space="preserve">Interactive activities — quizzes, drag-and-drop tasks, simulations, branching scenarios — can powerfully support active learning and formative assessment. However, many popular interactive formats are inaccessible to learners using screen readers, keyboard-only navigation, or switch access. Inclusive interactive design requires choosing the right tool and format from the outset.</w:t>
      </w:r>
    </w:p>
    <w:p>
      <w:pPr>
        <w:spacing w:after="0" w:before="80"/>
      </w:pPr>
      <w:r>
        <w:t xml:space="preserve"/>
      </w:r>
    </w:p>
    <w:p>
      <w:pPr>
        <w:pStyle w:val="Heading3"/>
        <w:spacing w:after="80" w:before="200"/>
      </w:pPr>
      <w:r>
        <w:rPr>
          <w:rFonts w:ascii="Arial" w:cs="Arial" w:eastAsia="Arial" w:hAnsi="Arial"/>
          <w:b/>
          <w:bCs/>
          <w:color w:val="1F4E79"/>
          <w:sz w:val="24"/>
          <w:szCs w:val="24"/>
        </w:rPr>
        <w:t xml:space="preserve">3.2 H5P Activity Types: Accessibility Comparison</w:t>
      </w:r>
    </w:p>
    <w:p>
      <w:pPr>
        <w:spacing w:after="80" w:before="60"/>
      </w:pPr>
      <w:r>
        <w:rPr>
          <w:rFonts w:ascii="Arial" w:cs="Arial" w:eastAsia="Arial" w:hAnsi="Arial"/>
          <w:color w:val="2F2F2F"/>
          <w:sz w:val="22"/>
          <w:szCs w:val="22"/>
        </w:rPr>
        <w:t xml:space="preserve">H5P is integrated into UR Moodle and provides a wide range of interactive content types. Accessibility varies significantly between content types: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80"/>
        <w:gridCol w:w="1440"/>
        <w:gridCol w:w="3040"/>
      </w:tblGrid>
      <w:tr>
        <w:tc>
          <w:tcPr>
            <w:tcW w:type="dxa" w:w="280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H5P Content Type</w:t>
            </w:r>
          </w:p>
        </w:tc>
        <w:tc>
          <w:tcPr>
            <w:tcW w:type="dxa" w:w="208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Learning Purpose</w:t>
            </w:r>
          </w:p>
        </w:tc>
        <w:tc>
          <w:tcPr>
            <w:tcW w:type="dxa" w:w="144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Accessibility</w:t>
            </w:r>
          </w:p>
        </w:tc>
        <w:tc>
          <w:tcPr>
            <w:tcW w:type="dxa" w:w="304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Inclusive Design Notes</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Course Presentation</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Structured multi-slide content with embedded questions</w:t>
            </w:r>
          </w:p>
        </w:tc>
        <w:tc>
          <w:tcPr>
            <w:tcW w:type="dxa" w:w="1440"/>
            <w:tcBorders>
              <w:top w:val="single" w:color="AABDD4" w:sz="1"/>
              <w:left w:val="single" w:color="AABDD4" w:sz="1"/>
              <w:bottom w:val="single" w:color="AABDD4" w:sz="1"/>
              <w:right w:val="single" w:color="AABDD4" w:sz="1"/>
            </w:tcBorders>
            <w:shd w:fill="E2EFDA" w:val="clear"/>
            <w:tcMar>
              <w:top w:type="dxa" w:w="90"/>
              <w:left w:type="dxa" w:w="160"/>
              <w:bottom w:type="dxa" w:w="90"/>
              <w:right w:type="dxa" w:w="160"/>
            </w:tcMar>
          </w:tcPr>
          <w:p>
            <w:pPr>
              <w:jc w:val="center"/>
            </w:pPr>
            <w:r>
              <w:rPr>
                <w:rFonts w:ascii="Arial" w:cs="Arial" w:eastAsia="Arial" w:hAnsi="Arial"/>
                <w:b/>
                <w:bCs/>
                <w:color w:val="1F9140"/>
                <w:sz w:val="20"/>
                <w:szCs w:val="20"/>
              </w:rPr>
              <w:t xml:space="preserve">High</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Keyboard navigable; screen reader compatible; provide downloadable PDF alternative</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Interactive Video</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Video with embedded questions and branching</w:t>
            </w:r>
          </w:p>
        </w:tc>
        <w:tc>
          <w:tcPr>
            <w:tcW w:type="dxa" w:w="1440"/>
            <w:tcBorders>
              <w:top w:val="single" w:color="AABDD4" w:sz="1"/>
              <w:left w:val="single" w:color="AABDD4" w:sz="1"/>
              <w:bottom w:val="single" w:color="AABDD4" w:sz="1"/>
              <w:right w:val="single" w:color="AABDD4" w:sz="1"/>
            </w:tcBorders>
            <w:shd w:fill="E2EFDA" w:val="clear"/>
            <w:tcMar>
              <w:top w:type="dxa" w:w="90"/>
              <w:left w:type="dxa" w:w="160"/>
              <w:bottom w:type="dxa" w:w="90"/>
              <w:right w:type="dxa" w:w="160"/>
            </w:tcMar>
          </w:tcPr>
          <w:p>
            <w:pPr>
              <w:jc w:val="center"/>
            </w:pPr>
            <w:r>
              <w:rPr>
                <w:rFonts w:ascii="Arial" w:cs="Arial" w:eastAsia="Arial" w:hAnsi="Arial"/>
                <w:b/>
                <w:bCs/>
                <w:color w:val="1F9140"/>
                <w:sz w:val="20"/>
                <w:szCs w:val="20"/>
              </w:rPr>
              <w:t xml:space="preserve">High</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Requires captioned video; questions must be keyboard operable; provide transcript</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Quiz (Question Set)</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Formative self-assessment</w:t>
            </w:r>
          </w:p>
        </w:tc>
        <w:tc>
          <w:tcPr>
            <w:tcW w:type="dxa" w:w="1440"/>
            <w:tcBorders>
              <w:top w:val="single" w:color="AABDD4" w:sz="1"/>
              <w:left w:val="single" w:color="AABDD4" w:sz="1"/>
              <w:bottom w:val="single" w:color="AABDD4" w:sz="1"/>
              <w:right w:val="single" w:color="AABDD4" w:sz="1"/>
            </w:tcBorders>
            <w:shd w:fill="E2EFDA" w:val="clear"/>
            <w:tcMar>
              <w:top w:type="dxa" w:w="90"/>
              <w:left w:type="dxa" w:w="160"/>
              <w:bottom w:type="dxa" w:w="90"/>
              <w:right w:type="dxa" w:w="160"/>
            </w:tcMar>
          </w:tcPr>
          <w:p>
            <w:pPr>
              <w:jc w:val="center"/>
            </w:pPr>
            <w:r>
              <w:rPr>
                <w:rFonts w:ascii="Arial" w:cs="Arial" w:eastAsia="Arial" w:hAnsi="Arial"/>
                <w:b/>
                <w:bCs/>
                <w:color w:val="1F9140"/>
                <w:sz w:val="20"/>
                <w:szCs w:val="20"/>
              </w:rPr>
              <w:t xml:space="preserve">High</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Keyboard navigable; screen reader compatible; allow multiple attempts; no timed restrictions</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Accordion</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Collapsible content sections</w:t>
            </w:r>
          </w:p>
        </w:tc>
        <w:tc>
          <w:tcPr>
            <w:tcW w:type="dxa" w:w="1440"/>
            <w:tcBorders>
              <w:top w:val="single" w:color="AABDD4" w:sz="1"/>
              <w:left w:val="single" w:color="AABDD4" w:sz="1"/>
              <w:bottom w:val="single" w:color="AABDD4" w:sz="1"/>
              <w:right w:val="single" w:color="AABDD4" w:sz="1"/>
            </w:tcBorders>
            <w:shd w:fill="E2EFDA" w:val="clear"/>
            <w:tcMar>
              <w:top w:type="dxa" w:w="90"/>
              <w:left w:type="dxa" w:w="160"/>
              <w:bottom w:type="dxa" w:w="90"/>
              <w:right w:type="dxa" w:w="160"/>
            </w:tcMar>
          </w:tcPr>
          <w:p>
            <w:pPr>
              <w:jc w:val="center"/>
            </w:pPr>
            <w:r>
              <w:rPr>
                <w:rFonts w:ascii="Arial" w:cs="Arial" w:eastAsia="Arial" w:hAnsi="Arial"/>
                <w:b/>
                <w:bCs/>
                <w:color w:val="1F9140"/>
                <w:sz w:val="20"/>
                <w:szCs w:val="20"/>
              </w:rPr>
              <w:t xml:space="preserve">High</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Keyboard accessible; good for chunking content for cognitive accessibility</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Drag and Drop</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Matching and categorisation tasks</w:t>
            </w:r>
          </w:p>
        </w:tc>
        <w:tc>
          <w:tcPr>
            <w:tcW w:type="dxa" w:w="1440"/>
            <w:tcBorders>
              <w:top w:val="single" w:color="AABDD4" w:sz="1"/>
              <w:left w:val="single" w:color="AABDD4" w:sz="1"/>
              <w:bottom w:val="single" w:color="AABDD4" w:sz="1"/>
              <w:right w:val="single" w:color="AABDD4" w:sz="1"/>
            </w:tcBorders>
            <w:shd w:fill="FDECEA" w:val="clear"/>
            <w:tcMar>
              <w:top w:type="dxa" w:w="90"/>
              <w:left w:type="dxa" w:w="160"/>
              <w:bottom w:type="dxa" w:w="90"/>
              <w:right w:type="dxa" w:w="160"/>
            </w:tcMar>
          </w:tcPr>
          <w:p>
            <w:pPr>
              <w:jc w:val="center"/>
            </w:pPr>
            <w:r>
              <w:rPr>
                <w:rFonts w:ascii="Arial" w:cs="Arial" w:eastAsia="Arial" w:hAnsi="Arial"/>
                <w:b/>
                <w:bCs/>
                <w:color w:val="C00000"/>
                <w:sz w:val="20"/>
                <w:szCs w:val="20"/>
              </w:rPr>
              <w:t xml:space="preserve">Low</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NOT keyboard navigable — avoid for summative assessment; provide an accessible alternative (e.g. multiple choice version of same task)</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Image Hotspot</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Labelled interactive images</w:t>
            </w:r>
          </w:p>
        </w:tc>
        <w:tc>
          <w:tcPr>
            <w:tcW w:type="dxa" w:w="1440"/>
            <w:tcBorders>
              <w:top w:val="single" w:color="AABDD4" w:sz="1"/>
              <w:left w:val="single" w:color="AABDD4" w:sz="1"/>
              <w:bottom w:val="single" w:color="AABDD4" w:sz="1"/>
              <w:right w:val="single" w:color="AABDD4" w:sz="1"/>
            </w:tcBorders>
            <w:shd w:fill="FFFDE7" w:val="clear"/>
            <w:tcMar>
              <w:top w:type="dxa" w:w="90"/>
              <w:left w:type="dxa" w:w="160"/>
              <w:bottom w:type="dxa" w:w="90"/>
              <w:right w:type="dxa" w:w="160"/>
            </w:tcMar>
          </w:tcPr>
          <w:p>
            <w:pPr>
              <w:jc w:val="center"/>
            </w:pPr>
            <w:r>
              <w:rPr>
                <w:rFonts w:ascii="Arial" w:cs="Arial" w:eastAsia="Arial" w:hAnsi="Arial"/>
                <w:b/>
                <w:bCs/>
                <w:color w:val="F0A500"/>
                <w:sz w:val="20"/>
                <w:szCs w:val="20"/>
              </w:rPr>
              <w:t xml:space="preserve">Medium</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Requires Alt text on base image; hotspot labels must be text-based; verify screen reader output</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Branching Scenario</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Decision-based narrative learning</w:t>
            </w:r>
          </w:p>
        </w:tc>
        <w:tc>
          <w:tcPr>
            <w:tcW w:type="dxa" w:w="1440"/>
            <w:tcBorders>
              <w:top w:val="single" w:color="AABDD4" w:sz="1"/>
              <w:left w:val="single" w:color="AABDD4" w:sz="1"/>
              <w:bottom w:val="single" w:color="AABDD4" w:sz="1"/>
              <w:right w:val="single" w:color="AABDD4" w:sz="1"/>
            </w:tcBorders>
            <w:shd w:fill="E2EFDA" w:val="clear"/>
            <w:tcMar>
              <w:top w:type="dxa" w:w="90"/>
              <w:left w:type="dxa" w:w="160"/>
              <w:bottom w:type="dxa" w:w="90"/>
              <w:right w:type="dxa" w:w="160"/>
            </w:tcMar>
          </w:tcPr>
          <w:p>
            <w:pPr>
              <w:jc w:val="center"/>
            </w:pPr>
            <w:r>
              <w:rPr>
                <w:rFonts w:ascii="Arial" w:cs="Arial" w:eastAsia="Arial" w:hAnsi="Arial"/>
                <w:b/>
                <w:bCs/>
                <w:color w:val="1F9140"/>
                <w:sz w:val="20"/>
                <w:szCs w:val="20"/>
              </w:rPr>
              <w:t xml:space="preserve">High</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Keyboard navigable; good for engagement; ensure all pathways are equally achievable without visual cues</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Timeline</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Chronological content display</w:t>
            </w:r>
          </w:p>
        </w:tc>
        <w:tc>
          <w:tcPr>
            <w:tcW w:type="dxa" w:w="1440"/>
            <w:tcBorders>
              <w:top w:val="single" w:color="AABDD4" w:sz="1"/>
              <w:left w:val="single" w:color="AABDD4" w:sz="1"/>
              <w:bottom w:val="single" w:color="AABDD4" w:sz="1"/>
              <w:right w:val="single" w:color="AABDD4" w:sz="1"/>
            </w:tcBorders>
            <w:shd w:fill="FFFDE7" w:val="clear"/>
            <w:tcMar>
              <w:top w:type="dxa" w:w="90"/>
              <w:left w:type="dxa" w:w="160"/>
              <w:bottom w:type="dxa" w:w="90"/>
              <w:right w:type="dxa" w:w="160"/>
            </w:tcMar>
          </w:tcPr>
          <w:p>
            <w:pPr>
              <w:jc w:val="center"/>
            </w:pPr>
            <w:r>
              <w:rPr>
                <w:rFonts w:ascii="Arial" w:cs="Arial" w:eastAsia="Arial" w:hAnsi="Arial"/>
                <w:b/>
                <w:bCs/>
                <w:color w:val="F0A500"/>
                <w:sz w:val="20"/>
                <w:szCs w:val="20"/>
              </w:rPr>
              <w:t xml:space="preserve">Medium</w:t>
            </w:r>
          </w:p>
        </w:tc>
        <w:tc>
          <w:tcPr>
            <w:tcW w:type="dxa" w:w="304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Screen reader compatibility varies; provide text-based timeline alternative</w:t>
            </w:r>
          </w:p>
        </w:tc>
      </w:tr>
    </w:tbl>
    <w:p>
      <w:pPr>
        <w:spacing w:after="0" w:before="80"/>
      </w:pPr>
      <w:r>
        <w:t xml:space="preserve"/>
      </w:r>
    </w:p>
    <w:p>
      <w:pPr>
        <w:pStyle w:val="Heading3"/>
        <w:spacing w:after="80" w:before="200"/>
      </w:pPr>
      <w:r>
        <w:rPr>
          <w:rFonts w:ascii="Arial" w:cs="Arial" w:eastAsia="Arial" w:hAnsi="Arial"/>
          <w:b/>
          <w:bCs/>
          <w:color w:val="1F4E79"/>
          <w:sz w:val="24"/>
          <w:szCs w:val="24"/>
        </w:rPr>
        <w:t xml:space="preserve">3.3 Designing Inclusive Moodle Activities</w:t>
      </w:r>
    </w:p>
    <w:p>
      <w:pPr>
        <w:spacing w:after="80" w:before="60"/>
      </w:pPr>
      <w:r>
        <w:rPr>
          <w:rFonts w:ascii="Arial" w:cs="Arial" w:eastAsia="Arial" w:hAnsi="Arial"/>
          <w:color w:val="2F2F2F"/>
          <w:sz w:val="22"/>
          <w:szCs w:val="22"/>
        </w:rPr>
        <w:t xml:space="preserve">Beyond H5P, Moodle's core activity set offers several highly accessible options:</w:t>
      </w:r>
    </w:p>
    <w:p>
      <w:pPr>
        <w:pStyle w:val="ListParagraph"/>
        <w:numPr>
          <w:ilvl w:val="0"/>
          <w:numId w:val="3"/>
        </w:numPr>
        <w:spacing w:after="40" w:before="40"/>
      </w:pPr>
      <w:r>
        <w:rPr>
          <w:rFonts w:ascii="Arial" w:cs="Arial" w:eastAsia="Arial" w:hAnsi="Arial"/>
          <w:b/>
          <w:bCs/>
          <w:color w:val="2F2F2F"/>
          <w:sz w:val="22"/>
          <w:szCs w:val="22"/>
        </w:rPr>
        <w:t xml:space="preserve">Forum (Discussion): Highly accessible; keyboard navigable; screen reader compatible. Best practice: provide a clear, structured prompt; specify the expected length and format of responses; allow text, audio, or video posts (using Moodle's built-in media recorder).</w:t>
      </w:r>
    </w:p>
    <w:p>
      <w:pPr>
        <w:pStyle w:val="ListParagraph"/>
        <w:numPr>
          <w:ilvl w:val="0"/>
          <w:numId w:val="3"/>
        </w:numPr>
        <w:spacing w:after="40" w:before="40"/>
      </w:pPr>
      <w:r>
        <w:rPr>
          <w:rFonts w:ascii="Arial" w:cs="Arial" w:eastAsia="Arial" w:hAnsi="Arial"/>
          <w:b/>
          <w:bCs/>
          <w:color w:val="2F2F2F"/>
          <w:sz w:val="22"/>
          <w:szCs w:val="22"/>
        </w:rPr>
        <w:t xml:space="preserve">Assignment: Highly accessible; supports multiple submission formats (file upload, online text, video/audio). Best practice: allow learners to submit in their preferred format; set clear file naming conventions; provide a template for structured submissions.</w:t>
      </w:r>
    </w:p>
    <w:p>
      <w:pPr>
        <w:pStyle w:val="ListParagraph"/>
        <w:numPr>
          <w:ilvl w:val="0"/>
          <w:numId w:val="3"/>
        </w:numPr>
        <w:spacing w:after="40" w:before="40"/>
      </w:pPr>
      <w:r>
        <w:rPr>
          <w:rFonts w:ascii="Arial" w:cs="Arial" w:eastAsia="Arial" w:hAnsi="Arial"/>
          <w:b/>
          <w:bCs/>
          <w:color w:val="2F2F2F"/>
          <w:sz w:val="22"/>
          <w:szCs w:val="22"/>
        </w:rPr>
        <w:t xml:space="preserve">Quiz: Accessible with careful configuration. Best practice: avoid drag-and-drop question types; use multiple choice, short answer, and essay questions; grant time extensions to learners who need them; allow multiple attempts for formative quizzes.</w:t>
      </w:r>
    </w:p>
    <w:p>
      <w:pPr>
        <w:pStyle w:val="ListParagraph"/>
        <w:numPr>
          <w:ilvl w:val="0"/>
          <w:numId w:val="3"/>
        </w:numPr>
        <w:spacing w:after="40" w:before="40"/>
      </w:pPr>
      <w:r>
        <w:rPr>
          <w:rFonts w:ascii="Arial" w:cs="Arial" w:eastAsia="Arial" w:hAnsi="Arial"/>
          <w:b/>
          <w:bCs/>
          <w:color w:val="2F2F2F"/>
          <w:sz w:val="22"/>
          <w:szCs w:val="22"/>
        </w:rPr>
        <w:t xml:space="preserve">Workshop (Peer Assessment): Accessible with structured guidance. Best practice: provide clear peer review criteria as a rubric; allow flexible submission formats; scaffold the feedback process with sentence starters.</w:t>
      </w:r>
    </w:p>
    <w:p>
      <w:pPr>
        <w:pStyle w:val="ListParagraph"/>
        <w:numPr>
          <w:ilvl w:val="0"/>
          <w:numId w:val="3"/>
        </w:numPr>
        <w:spacing w:after="40" w:before="40"/>
      </w:pPr>
      <w:r>
        <w:rPr>
          <w:rFonts w:ascii="Arial" w:cs="Arial" w:eastAsia="Arial" w:hAnsi="Arial"/>
          <w:b/>
          <w:bCs/>
          <w:color w:val="2F2F2F"/>
          <w:sz w:val="22"/>
          <w:szCs w:val="22"/>
        </w:rPr>
        <w:t xml:space="preserve">Glossary: Accessible and highly useful for language-diverse cohorts. Best practice: co-create the glossary with students as a collaborative activity; link glossary terms within course content for instant definition access.</w:t>
      </w:r>
    </w:p>
    <w:p>
      <w:pPr>
        <w:spacing w:after="0" w:before="80"/>
      </w:pPr>
      <w:r>
        <w:t xml:space="preserve"/>
      </w:r>
    </w:p>
    <w:p>
      <w:pPr>
        <w:pStyle w:val="Heading3"/>
        <w:spacing w:after="80" w:before="200"/>
      </w:pPr>
      <w:r>
        <w:rPr>
          <w:rFonts w:ascii="Arial" w:cs="Arial" w:eastAsia="Arial" w:hAnsi="Arial"/>
          <w:b/>
          <w:bCs/>
          <w:color w:val="1F4E79"/>
          <w:sz w:val="24"/>
          <w:szCs w:val="24"/>
        </w:rPr>
        <w:t xml:space="preserve">3.4 Writing Accessible Activity Instructions</w:t>
      </w:r>
    </w:p>
    <w:p>
      <w:pPr>
        <w:spacing w:after="80" w:before="60"/>
      </w:pPr>
      <w:r>
        <w:rPr>
          <w:rFonts w:ascii="Arial" w:cs="Arial" w:eastAsia="Arial" w:hAnsi="Arial"/>
          <w:color w:val="2F2F2F"/>
          <w:sz w:val="22"/>
          <w:szCs w:val="22"/>
        </w:rPr>
        <w:t xml:space="preserve">Even the most accessible activity tool becomes a barrier if the instructions are unclear. Principles for inclusive activity instructions:</w:t>
      </w:r>
    </w:p>
    <w:p>
      <w:pPr>
        <w:pStyle w:val="ListParagraph"/>
        <w:numPr>
          <w:ilvl w:val="0"/>
          <w:numId w:val="3"/>
        </w:numPr>
        <w:spacing w:after="40" w:before="40"/>
      </w:pPr>
      <w:r>
        <w:rPr>
          <w:rFonts w:ascii="Arial" w:cs="Arial" w:eastAsia="Arial" w:hAnsi="Arial"/>
          <w:b w:val="false"/>
          <w:bCs w:val="false"/>
          <w:color w:val="2F2F2F"/>
          <w:sz w:val="22"/>
          <w:szCs w:val="22"/>
        </w:rPr>
        <w:t xml:space="preserve">State the purpose first: Begin with why the activity matters — this recruits motivation before diving into logistics.</w:t>
      </w:r>
    </w:p>
    <w:p>
      <w:pPr>
        <w:pStyle w:val="ListParagraph"/>
        <w:numPr>
          <w:ilvl w:val="0"/>
          <w:numId w:val="3"/>
        </w:numPr>
        <w:spacing w:after="40" w:before="40"/>
      </w:pPr>
      <w:r>
        <w:rPr>
          <w:rFonts w:ascii="Arial" w:cs="Arial" w:eastAsia="Arial" w:hAnsi="Arial"/>
          <w:b w:val="false"/>
          <w:bCs w:val="false"/>
          <w:color w:val="2F2F2F"/>
          <w:sz w:val="22"/>
          <w:szCs w:val="22"/>
        </w:rPr>
        <w:t xml:space="preserve">Use numbered steps: Break multi-part instructions into numbered steps of one action each.</w:t>
      </w:r>
    </w:p>
    <w:p>
      <w:pPr>
        <w:pStyle w:val="ListParagraph"/>
        <w:numPr>
          <w:ilvl w:val="0"/>
          <w:numId w:val="3"/>
        </w:numPr>
        <w:spacing w:after="40" w:before="40"/>
      </w:pPr>
      <w:r>
        <w:rPr>
          <w:rFonts w:ascii="Arial" w:cs="Arial" w:eastAsia="Arial" w:hAnsi="Arial"/>
          <w:b w:val="false"/>
          <w:bCs w:val="false"/>
          <w:color w:val="2F2F2F"/>
          <w:sz w:val="22"/>
          <w:szCs w:val="22"/>
        </w:rPr>
        <w:t xml:space="preserve">Specify format requirements explicitly: Word count, file type, submission method, deadline, and grading criteria.</w:t>
      </w:r>
    </w:p>
    <w:p>
      <w:pPr>
        <w:pStyle w:val="ListParagraph"/>
        <w:numPr>
          <w:ilvl w:val="0"/>
          <w:numId w:val="3"/>
        </w:numPr>
        <w:spacing w:after="40" w:before="40"/>
      </w:pPr>
      <w:r>
        <w:rPr>
          <w:rFonts w:ascii="Arial" w:cs="Arial" w:eastAsia="Arial" w:hAnsi="Arial"/>
          <w:b w:val="false"/>
          <w:bCs w:val="false"/>
          <w:color w:val="2F2F2F"/>
          <w:sz w:val="22"/>
          <w:szCs w:val="22"/>
        </w:rPr>
        <w:t xml:space="preserve">Anticipate questions: Include an FAQ section for complex activities (e.g. group assignments, peer review tasks).</w:t>
      </w:r>
    </w:p>
    <w:p>
      <w:pPr>
        <w:pStyle w:val="ListParagraph"/>
        <w:numPr>
          <w:ilvl w:val="0"/>
          <w:numId w:val="3"/>
        </w:numPr>
        <w:spacing w:after="40" w:before="40"/>
      </w:pPr>
      <w:r>
        <w:rPr>
          <w:rFonts w:ascii="Arial" w:cs="Arial" w:eastAsia="Arial" w:hAnsi="Arial"/>
          <w:b w:val="false"/>
          <w:bCs w:val="false"/>
          <w:color w:val="2F2F2F"/>
          <w:sz w:val="22"/>
          <w:szCs w:val="22"/>
        </w:rPr>
        <w:t xml:space="preserve">Use plain language: Aim for clarity over formality in instructions — this is not the place for academic register.</w:t>
      </w:r>
    </w:p>
    <w:p>
      <w:pPr>
        <w:pStyle w:val="ListParagraph"/>
        <w:numPr>
          <w:ilvl w:val="0"/>
          <w:numId w:val="3"/>
        </w:numPr>
        <w:spacing w:after="40" w:before="40"/>
      </w:pPr>
      <w:r>
        <w:rPr>
          <w:rFonts w:ascii="Arial" w:cs="Arial" w:eastAsia="Arial" w:hAnsi="Arial"/>
          <w:b w:val="false"/>
          <w:bCs w:val="false"/>
          <w:color w:val="2F2F2F"/>
          <w:sz w:val="22"/>
          <w:szCs w:val="22"/>
        </w:rPr>
        <w:t xml:space="preserve">Provide a worked example: For complex tasks, show students a model of what a successful submission looks like.</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4: </w:t>
            </w:r>
            <w:r>
              <w:rPr>
                <w:rFonts w:ascii="Arial" w:cs="Arial" w:eastAsia="Arial" w:hAnsi="Arial"/>
                <w:color w:val="BDD7EE"/>
                <w:sz w:val="26"/>
                <w:szCs w:val="26"/>
              </w:rPr>
              <w:t xml:space="preserve">Evaluating and Improving Instructional Materials</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4.1 The Inclusive Materials Design Rubric</w:t>
      </w:r>
    </w:p>
    <w:p>
      <w:pPr>
        <w:spacing w:after="80" w:before="60"/>
      </w:pPr>
      <w:r>
        <w:rPr>
          <w:rFonts w:ascii="Arial" w:cs="Arial" w:eastAsia="Arial" w:hAnsi="Arial"/>
          <w:color w:val="2F2F2F"/>
          <w:sz w:val="22"/>
          <w:szCs w:val="22"/>
        </w:rPr>
        <w:t xml:space="preserve">A rubric provides a structured, consistent framework for evaluating the inclusive design quality of instructional materials. The following rubric can be applied to any material type (document, slide deck, video, or interactive activity):</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400"/>
        <w:gridCol w:w="2400"/>
        <w:gridCol w:w="2400"/>
      </w:tblGrid>
      <w:tr>
        <w:tc>
          <w:tcPr>
            <w:tcW w:type="dxa" w:w="216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Criterion</w:t>
            </w:r>
          </w:p>
        </w:tc>
        <w:tc>
          <w:tcPr>
            <w:tcW w:type="dxa" w:w="2400"/>
            <w:tcBorders>
              <w:top w:val="single" w:color="2E75B6" w:sz="1"/>
              <w:left w:val="single" w:color="2E75B6" w:sz="1"/>
              <w:bottom w:val="single" w:color="2E75B6" w:sz="1"/>
              <w:right w:val="single" w:color="2E75B6" w:sz="1"/>
            </w:tcBorders>
            <w:shd w:fill="2E75B6"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Developing (1)</w:t>
            </w:r>
          </w:p>
        </w:tc>
        <w:tc>
          <w:tcPr>
            <w:tcW w:type="dxa" w:w="2400"/>
            <w:tcBorders>
              <w:top w:val="single" w:color="1F9140" w:sz="1"/>
              <w:left w:val="single" w:color="1F9140" w:sz="1"/>
              <w:bottom w:val="single" w:color="1F9140" w:sz="1"/>
              <w:right w:val="single" w:color="1F9140" w:sz="1"/>
            </w:tcBorders>
            <w:shd w:fill="1F9140"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Proficient (2)</w:t>
            </w:r>
          </w:p>
        </w:tc>
        <w:tc>
          <w:tcPr>
            <w:tcW w:type="dxa" w:w="240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Exemplary (3)</w:t>
            </w:r>
          </w:p>
        </w:tc>
      </w:tr>
      <w:tr>
        <w:tc>
          <w:tcPr>
            <w:tcW w:type="dxa" w:w="216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Structure and Navigation</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C00000"/>
                <w:sz w:val="20"/>
                <w:szCs w:val="20"/>
              </w:rPr>
              <w:t xml:space="preserve">No clear structure; headings absent or inconsistent</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9140"/>
                <w:sz w:val="20"/>
                <w:szCs w:val="20"/>
              </w:rPr>
              <w:t xml:space="preserve">Headings used but not styled consistently; some navigational aids present</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4E79"/>
                <w:sz w:val="20"/>
                <w:szCs w:val="20"/>
              </w:rPr>
              <w:t xml:space="preserve">Logical H1→H2→H3 structure throughout; table of contents where appropriate; consistent layout</w:t>
            </w:r>
          </w:p>
        </w:tc>
      </w:tr>
      <w:tr>
        <w:tc>
          <w:tcPr>
            <w:tcW w:type="dxa" w:w="216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Typography and Readability</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C00000"/>
                <w:sz w:val="20"/>
                <w:szCs w:val="20"/>
              </w:rPr>
              <w:t xml:space="preserve">Small font; serif; justified; dense paragraphs</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9140"/>
                <w:sz w:val="20"/>
                <w:szCs w:val="20"/>
              </w:rPr>
              <w:t xml:space="preserve">Adequate font size; some spacing; mostly clear language</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4E79"/>
                <w:sz w:val="20"/>
                <w:szCs w:val="20"/>
              </w:rPr>
              <w:t xml:space="preserve">12–14pt sans-serif; 1.5× line spacing; plain language; chunked into short paragraphs</w:t>
            </w:r>
          </w:p>
        </w:tc>
      </w:tr>
      <w:tr>
        <w:tc>
          <w:tcPr>
            <w:tcW w:type="dxa" w:w="216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Colour and Contrast</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C00000"/>
                <w:sz w:val="20"/>
                <w:szCs w:val="20"/>
              </w:rPr>
              <w:t xml:space="preserve">Low contrast; colour used as sole information conveyor</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9140"/>
                <w:sz w:val="20"/>
                <w:szCs w:val="20"/>
              </w:rPr>
              <w:t xml:space="preserve">Adequate contrast in most areas; some colour-only information</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4E79"/>
                <w:sz w:val="20"/>
                <w:szCs w:val="20"/>
              </w:rPr>
              <w:t xml:space="preserve">WCAG AA contrast (4.5:1) throughout; colour never used alone to convey meaning</w:t>
            </w:r>
          </w:p>
        </w:tc>
      </w:tr>
      <w:tr>
        <w:tc>
          <w:tcPr>
            <w:tcW w:type="dxa" w:w="216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Multimedia Accessibility</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C00000"/>
                <w:sz w:val="20"/>
                <w:szCs w:val="20"/>
              </w:rPr>
              <w:t xml:space="preserve">No captions, transcripts, or Alt text</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9140"/>
                <w:sz w:val="20"/>
                <w:szCs w:val="20"/>
              </w:rPr>
              <w:t xml:space="preserve">Captions present but unreviewed; some Alt text; transcript absent</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4E79"/>
                <w:sz w:val="20"/>
                <w:szCs w:val="20"/>
              </w:rPr>
              <w:t xml:space="preserve">Reviewed captions; descriptive Alt text; full transcript; audio description for visual content</w:t>
            </w:r>
          </w:p>
        </w:tc>
      </w:tr>
      <w:tr>
        <w:tc>
          <w:tcPr>
            <w:tcW w:type="dxa" w:w="216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Format Flexibility</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C00000"/>
                <w:sz w:val="20"/>
                <w:szCs w:val="20"/>
              </w:rPr>
              <w:t xml:space="preserve">Single format only</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9140"/>
                <w:sz w:val="20"/>
                <w:szCs w:val="20"/>
              </w:rPr>
              <w:t xml:space="preserve">Two formats available (e.g. PDF + video)</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4E79"/>
                <w:sz w:val="20"/>
                <w:szCs w:val="20"/>
              </w:rPr>
              <w:t xml:space="preserve">Three or more formats; low-bandwidth option; offline-accessible version</w:t>
            </w:r>
          </w:p>
        </w:tc>
      </w:tr>
      <w:tr>
        <w:tc>
          <w:tcPr>
            <w:tcW w:type="dxa" w:w="216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Language and Inclusion</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C00000"/>
                <w:sz w:val="20"/>
                <w:szCs w:val="20"/>
              </w:rPr>
              <w:t xml:space="preserve">Academic jargon throughout; no glossary; no culturally responsive examples</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9140"/>
                <w:sz w:val="20"/>
                <w:szCs w:val="20"/>
              </w:rPr>
              <w:t xml:space="preserve">Some plain language; partial glossary; limited diversity in examples</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1F4E79"/>
                <w:sz w:val="20"/>
                <w:szCs w:val="20"/>
              </w:rPr>
              <w:t xml:space="preserve">Plain language throughout; comprehensive glossary; culturally diverse examples; inclusive imagery</w:t>
            </w:r>
          </w:p>
        </w:tc>
      </w:tr>
    </w:tbl>
    <w:p>
      <w:pPr>
        <w:spacing w:after="0" w:before="80"/>
      </w:pPr>
      <w:r>
        <w:t xml:space="preserve"/>
      </w:r>
    </w:p>
    <w:p>
      <w:pPr>
        <w:pStyle w:val="Heading3"/>
        <w:spacing w:after="80" w:before="200"/>
      </w:pPr>
      <w:r>
        <w:rPr>
          <w:rFonts w:ascii="Arial" w:cs="Arial" w:eastAsia="Arial" w:hAnsi="Arial"/>
          <w:b/>
          <w:bCs/>
          <w:color w:val="1F4E79"/>
          <w:sz w:val="24"/>
          <w:szCs w:val="24"/>
        </w:rPr>
        <w:t xml:space="preserve">4.2 The Iterative Design Cycle</w:t>
      </w:r>
    </w:p>
    <w:p>
      <w:pPr>
        <w:spacing w:after="80" w:before="60"/>
      </w:pPr>
      <w:r>
        <w:rPr>
          <w:rFonts w:ascii="Arial" w:cs="Arial" w:eastAsia="Arial" w:hAnsi="Arial"/>
          <w:color w:val="2F2F2F"/>
          <w:sz w:val="22"/>
          <w:szCs w:val="22"/>
        </w:rPr>
        <w:t xml:space="preserve">Inclusive material design is not a one-time event — it is an ongoing cycle of design, review, feedback, and improvement. The following four-stage iterative process should be embedded in every course development workflow:</w:t>
      </w:r>
    </w:p>
    <w:p>
      <w:pPr>
        <w:pStyle w:val="ListParagraph"/>
        <w:numPr>
          <w:ilvl w:val="0"/>
          <w:numId w:val="3"/>
        </w:numPr>
        <w:spacing w:after="40" w:before="40"/>
      </w:pPr>
      <w:r>
        <w:rPr>
          <w:rFonts w:ascii="Arial" w:cs="Arial" w:eastAsia="Arial" w:hAnsi="Arial"/>
          <w:b/>
          <w:bCs/>
          <w:color w:val="2F2F2F"/>
          <w:sz w:val="22"/>
          <w:szCs w:val="22"/>
        </w:rPr>
        <w:t xml:space="preserve">Design: Apply inclusive design principles from the outset, using the frameworks from Units 1–4.</w:t>
      </w:r>
    </w:p>
    <w:p>
      <w:pPr>
        <w:pStyle w:val="ListParagraph"/>
        <w:numPr>
          <w:ilvl w:val="0"/>
          <w:numId w:val="3"/>
        </w:numPr>
        <w:spacing w:after="40" w:before="40"/>
      </w:pPr>
      <w:r>
        <w:rPr>
          <w:rFonts w:ascii="Arial" w:cs="Arial" w:eastAsia="Arial" w:hAnsi="Arial"/>
          <w:b/>
          <w:bCs/>
          <w:color w:val="2F2F2F"/>
          <w:sz w:val="22"/>
          <w:szCs w:val="22"/>
        </w:rPr>
        <w:t xml:space="preserve">Self-review: Run the Microsoft Accessibility Checker; test with WAVE; check captions; read with a screen reader.</w:t>
      </w:r>
    </w:p>
    <w:p>
      <w:pPr>
        <w:pStyle w:val="ListParagraph"/>
        <w:numPr>
          <w:ilvl w:val="0"/>
          <w:numId w:val="3"/>
        </w:numPr>
        <w:spacing w:after="40" w:before="40"/>
      </w:pPr>
      <w:r>
        <w:rPr>
          <w:rFonts w:ascii="Arial" w:cs="Arial" w:eastAsia="Arial" w:hAnsi="Arial"/>
          <w:b/>
          <w:bCs/>
          <w:color w:val="2F2F2F"/>
          <w:sz w:val="22"/>
          <w:szCs w:val="22"/>
        </w:rPr>
        <w:t xml:space="preserve">Peer review: Exchange materials with a colleague for a structured peer accessibility review using the rubric above.</w:t>
      </w:r>
    </w:p>
    <w:p>
      <w:pPr>
        <w:pStyle w:val="ListParagraph"/>
        <w:numPr>
          <w:ilvl w:val="0"/>
          <w:numId w:val="3"/>
        </w:numPr>
        <w:spacing w:after="40" w:before="40"/>
      </w:pPr>
      <w:r>
        <w:rPr>
          <w:rFonts w:ascii="Arial" w:cs="Arial" w:eastAsia="Arial" w:hAnsi="Arial"/>
          <w:b/>
          <w:bCs/>
          <w:color w:val="2F2F2F"/>
          <w:sz w:val="22"/>
          <w:szCs w:val="22"/>
        </w:rPr>
        <w:t xml:space="preserve">Learner feedback: Gather student feedback on material accessibility at the mid-module point; revise and re-publish improved versions.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single" w:color="F0A500" w:sz="1"/>
              <w:bottom w:val="single" w:color="F0A500" w:sz="1"/>
              <w:right w:val="single" w:color="F0A500" w:sz="1"/>
            </w:tcBorders>
            <w:shd w:fill="FFFDE7" w:val="clear"/>
            <w:tcMar>
              <w:top w:type="dxa" w:w="160"/>
              <w:left w:type="dxa" w:w="200"/>
              <w:bottom w:type="dxa" w:w="160"/>
              <w:right w:type="dxa" w:w="200"/>
            </w:tcMar>
          </w:tcPr>
          <w:p>
            <w:pPr>
              <w:spacing w:after="80" w:before="0"/>
            </w:pPr>
            <w:r>
              <w:rPr>
                <w:rFonts w:ascii="Arial" w:cs="Arial" w:eastAsia="Arial" w:hAnsi="Arial"/>
                <w:b/>
                <w:bCs/>
                <w:color w:val="8A6300"/>
                <w:sz w:val="22"/>
                <w:szCs w:val="22"/>
              </w:rPr>
              <w:t xml:space="preserve">Activity 4.4 — </w:t>
            </w:r>
            <w:r>
              <w:rPr>
                <w:rFonts w:ascii="Arial" w:cs="Arial" w:eastAsia="Arial" w:hAnsi="Arial"/>
                <w:b/>
                <w:bCs/>
                <w:color w:val="2F2F2F"/>
                <w:sz w:val="22"/>
                <w:szCs w:val="22"/>
              </w:rPr>
              <w:t xml:space="preserve">Inclusive Materials Redesign Portfolio (Summative-aligned Formative Task)</w:t>
            </w:r>
          </w:p>
          <w:p>
            <w:pPr>
              <w:spacing w:after="60" w:before="0"/>
            </w:pPr>
            <w:r>
              <w:rPr>
                <w:rFonts w:ascii="Arial" w:cs="Arial" w:eastAsia="Arial" w:hAnsi="Arial"/>
                <w:b/>
                <w:bCs/>
                <w:color w:val="2F2F2F"/>
                <w:sz w:val="22"/>
                <w:szCs w:val="22"/>
              </w:rPr>
              <w:t xml:space="preserve">Mode: </w:t>
            </w:r>
            <w:r>
              <w:rPr>
                <w:rFonts w:ascii="Arial" w:cs="Arial" w:eastAsia="Arial" w:hAnsi="Arial"/>
                <w:color w:val="2F2F2F"/>
                <w:sz w:val="22"/>
                <w:szCs w:val="22"/>
              </w:rPr>
              <w:t xml:space="preserve">Online — individual submission via Moodle</w:t>
            </w:r>
          </w:p>
          <w:p>
            <w:pPr>
              <w:spacing w:after="60" w:before="0"/>
            </w:pPr>
            <w:r>
              <w:rPr>
                <w:rFonts w:ascii="Arial" w:cs="Arial" w:eastAsia="Arial" w:hAnsi="Arial"/>
                <w:b/>
                <w:bCs/>
                <w:color w:val="2F2F2F"/>
                <w:sz w:val="22"/>
                <w:szCs w:val="22"/>
              </w:rPr>
              <w:t xml:space="preserve">Duration: </w:t>
            </w:r>
            <w:r>
              <w:rPr>
                <w:rFonts w:ascii="Arial" w:cs="Arial" w:eastAsia="Arial" w:hAnsi="Arial"/>
                <w:color w:val="2F2F2F"/>
                <w:sz w:val="22"/>
                <w:szCs w:val="22"/>
              </w:rPr>
              <w:t xml:space="preserve">4–5 hours out of class</w:t>
            </w:r>
          </w:p>
          <w:p>
            <w:pPr>
              <w:spacing w:after="0" w:before="40"/>
            </w:pPr>
            <w:r>
              <w:t xml:space="preserve"/>
            </w:r>
          </w:p>
          <w:p>
            <w:pPr>
              <w:spacing w:after="60" w:before="0"/>
            </w:pPr>
            <w:r>
              <w:rPr>
                <w:rFonts w:ascii="Arial" w:cs="Arial" w:eastAsia="Arial" w:hAnsi="Arial"/>
                <w:b/>
                <w:bCs/>
                <w:color w:val="2F2F2F"/>
                <w:sz w:val="22"/>
                <w:szCs w:val="22"/>
              </w:rPr>
              <w:t xml:space="preserve">Task:</w:t>
            </w:r>
          </w:p>
          <w:p>
            <w:pPr>
              <w:spacing w:after="80" w:before="60"/>
            </w:pPr>
            <w:r>
              <w:rPr>
                <w:rFonts w:ascii="Arial" w:cs="Arial" w:eastAsia="Arial" w:hAnsi="Arial"/>
                <w:color w:val="2F2F2F"/>
                <w:sz w:val="22"/>
                <w:szCs w:val="22"/>
              </w:rPr>
              <w:t xml:space="preserve">Select three instructional materials from a module you teach or plan to teach — one document, one multimedia resource, and one interactive activity. Evaluate each against the Inclusive Materials Design Rubric and produce a revised version of each, accompanied by a written Redesign Rationale (1,000–1,200 words total across three rationales).</w:t>
            </w:r>
          </w:p>
          <w:p>
            <w:pPr>
              <w:spacing w:after="40" w:before="0"/>
            </w:pPr>
            <w:r>
              <w:rPr>
                <w:rFonts w:ascii="Arial" w:cs="Arial" w:eastAsia="Arial" w:hAnsi="Arial"/>
                <w:b/>
                <w:bCs/>
                <w:color w:val="2F2F2F"/>
                <w:sz w:val="22"/>
                <w:szCs w:val="22"/>
              </w:rPr>
              <w:t xml:space="preserve">For each material, your submission must include:</w:t>
            </w:r>
          </w:p>
          <w:p>
            <w:pPr>
              <w:pStyle w:val="ListParagraph"/>
              <w:numPr>
                <w:ilvl w:val="0"/>
                <w:numId w:val="4"/>
              </w:numPr>
              <w:spacing w:after="40" w:before="40"/>
            </w:pPr>
            <w:r>
              <w:rPr>
                <w:rFonts w:ascii="Arial" w:cs="Arial" w:eastAsia="Arial" w:hAnsi="Arial"/>
                <w:color w:val="2F2F2F"/>
                <w:sz w:val="21"/>
                <w:szCs w:val="21"/>
              </w:rPr>
              <w:t xml:space="preserve">The original material (or a clear description if confidential)</w:t>
            </w:r>
          </w:p>
          <w:p>
            <w:pPr>
              <w:pStyle w:val="ListParagraph"/>
              <w:numPr>
                <w:ilvl w:val="0"/>
                <w:numId w:val="4"/>
              </w:numPr>
              <w:spacing w:after="40" w:before="40"/>
            </w:pPr>
            <w:r>
              <w:rPr>
                <w:rFonts w:ascii="Arial" w:cs="Arial" w:eastAsia="Arial" w:hAnsi="Arial"/>
                <w:color w:val="2F2F2F"/>
                <w:sz w:val="21"/>
                <w:szCs w:val="21"/>
              </w:rPr>
              <w:t xml:space="preserve">The revised, accessible version</w:t>
            </w:r>
          </w:p>
          <w:p>
            <w:pPr>
              <w:pStyle w:val="ListParagraph"/>
              <w:numPr>
                <w:ilvl w:val="0"/>
                <w:numId w:val="4"/>
              </w:numPr>
              <w:spacing w:after="40" w:before="40"/>
            </w:pPr>
            <w:r>
              <w:rPr>
                <w:rFonts w:ascii="Arial" w:cs="Arial" w:eastAsia="Arial" w:hAnsi="Arial"/>
                <w:color w:val="2F2F2F"/>
                <w:sz w:val="21"/>
                <w:szCs w:val="21"/>
              </w:rPr>
              <w:t xml:space="preserve">A rubric evaluation of the original (score out of 18)</w:t>
            </w:r>
          </w:p>
          <w:p>
            <w:pPr>
              <w:pStyle w:val="ListParagraph"/>
              <w:numPr>
                <w:ilvl w:val="0"/>
                <w:numId w:val="4"/>
              </w:numPr>
              <w:spacing w:after="40" w:before="40"/>
            </w:pPr>
            <w:r>
              <w:rPr>
                <w:rFonts w:ascii="Arial" w:cs="Arial" w:eastAsia="Arial" w:hAnsi="Arial"/>
                <w:color w:val="2F2F2F"/>
                <w:sz w:val="21"/>
                <w:szCs w:val="21"/>
              </w:rPr>
              <w:t xml:space="preserve">A redesign rationale (300–400 words) explaining: which criteria were weakest, which changes you made and why, which learner groups benefit most, and any constraints you encountered.</w:t>
            </w:r>
          </w:p>
          <w:p>
            <w:pPr>
              <w:spacing w:after="0" w:before="40"/>
            </w:pPr>
            <w:r>
              <w:t xml:space="preserve"/>
            </w:r>
          </w:p>
          <w:p>
            <w:pPr>
              <w:spacing w:after="0" w:before="0"/>
            </w:pPr>
            <w:r>
              <w:rPr>
                <w:rFonts w:ascii="Arial" w:cs="Arial" w:eastAsia="Arial" w:hAnsi="Arial"/>
                <w:b/>
                <w:bCs/>
                <w:color w:val="8A6300"/>
                <w:sz w:val="20"/>
                <w:szCs w:val="20"/>
              </w:rPr>
              <w:t xml:space="preserve">Links to Learning Outcomes: LO1, LO2, LO3, LO4</w:t>
            </w:r>
          </w:p>
        </w:tc>
      </w:tr>
    </w:tbl>
    <w:p>
      <w:pPr>
        <w:spacing w:after="0" w:before="200"/>
      </w:pPr>
      <w:r>
        <w:t xml:space="preserve"/>
      </w:r>
    </w:p>
    <w:p>
      <w:pPr>
        <w:pStyle w:val="Heading2"/>
        <w:spacing w:after="100" w:before="280"/>
      </w:pPr>
      <w:r>
        <w:rPr>
          <w:rFonts w:ascii="Arial" w:cs="Arial" w:eastAsia="Arial" w:hAnsi="Arial"/>
          <w:b/>
          <w:bCs/>
          <w:color w:val="2E75B6"/>
          <w:sz w:val="28"/>
          <w:szCs w:val="28"/>
        </w:rPr>
        <w:t xml:space="preserve">Indicative Readings and Resources</w:t>
      </w:r>
    </w:p>
    <w:p>
      <w:pPr>
        <w:spacing w:after="80" w:before="60"/>
      </w:pPr>
      <w:r>
        <w:rPr>
          <w:rFonts w:ascii="Arial" w:cs="Arial" w:eastAsia="Arial" w:hAnsi="Arial"/>
          <w:b/>
          <w:bCs/>
          <w:color w:val="2F2F2F"/>
          <w:sz w:val="22"/>
          <w:szCs w:val="22"/>
        </w:rPr>
        <w:t xml:space="preserve">Core References:</w:t>
      </w:r>
    </w:p>
    <w:p>
      <w:pPr>
        <w:pStyle w:val="ListParagraph"/>
        <w:numPr>
          <w:ilvl w:val="0"/>
          <w:numId w:val="3"/>
        </w:numPr>
        <w:spacing w:after="40" w:before="40"/>
      </w:pPr>
      <w:r>
        <w:rPr>
          <w:rFonts w:ascii="Arial" w:cs="Arial" w:eastAsia="Arial" w:hAnsi="Arial"/>
          <w:b w:val="false"/>
          <w:bCs w:val="false"/>
          <w:color w:val="2F2F2F"/>
          <w:sz w:val="22"/>
          <w:szCs w:val="22"/>
        </w:rPr>
        <w:t xml:space="preserve">W3C (2018). Web Content Accessibility Guidelines (WCAG) 2.1. https://www.w3.org/TR/WCAG21/</w:t>
      </w:r>
    </w:p>
    <w:p>
      <w:pPr>
        <w:pStyle w:val="ListParagraph"/>
        <w:numPr>
          <w:ilvl w:val="0"/>
          <w:numId w:val="3"/>
        </w:numPr>
        <w:spacing w:after="40" w:before="40"/>
      </w:pPr>
      <w:r>
        <w:rPr>
          <w:rFonts w:ascii="Arial" w:cs="Arial" w:eastAsia="Arial" w:hAnsi="Arial"/>
          <w:b w:val="false"/>
          <w:bCs w:val="false"/>
          <w:color w:val="2F2F2F"/>
          <w:sz w:val="22"/>
          <w:szCs w:val="22"/>
        </w:rPr>
        <w:t xml:space="preserve">Microsoft (2023). Make your Word documents accessible to people with disabilities. https://support.microsoft.com/en-us/office/make-your-word-documents-accessible</w:t>
      </w:r>
    </w:p>
    <w:p>
      <w:pPr>
        <w:pStyle w:val="ListParagraph"/>
        <w:numPr>
          <w:ilvl w:val="0"/>
          <w:numId w:val="3"/>
        </w:numPr>
        <w:spacing w:after="40" w:before="40"/>
      </w:pPr>
      <w:r>
        <w:rPr>
          <w:rFonts w:ascii="Arial" w:cs="Arial" w:eastAsia="Arial" w:hAnsi="Arial"/>
          <w:b w:val="false"/>
          <w:bCs w:val="false"/>
          <w:color w:val="2F2F2F"/>
          <w:sz w:val="22"/>
          <w:szCs w:val="22"/>
        </w:rPr>
        <w:t xml:space="preserve">WebAIM (2023). Creating Accessible Documents. https://webaim.org/techniques/word/</w:t>
      </w:r>
    </w:p>
    <w:p>
      <w:pPr>
        <w:pStyle w:val="ListParagraph"/>
        <w:numPr>
          <w:ilvl w:val="0"/>
          <w:numId w:val="3"/>
        </w:numPr>
        <w:spacing w:after="40" w:before="40"/>
      </w:pPr>
      <w:r>
        <w:rPr>
          <w:rFonts w:ascii="Arial" w:cs="Arial" w:eastAsia="Arial" w:hAnsi="Arial"/>
          <w:b w:val="false"/>
          <w:bCs w:val="false"/>
          <w:color w:val="2F2F2F"/>
          <w:sz w:val="22"/>
          <w:szCs w:val="22"/>
        </w:rPr>
        <w:t xml:space="preserve">CAST (2018). UDL Guidelines — Multiple Means of Representation. http://udlguidelines.cast.org</w:t>
      </w:r>
    </w:p>
    <w:p>
      <w:pPr>
        <w:spacing w:after="0" w:before="60"/>
      </w:pPr>
      <w:r>
        <w:t xml:space="preserve"/>
      </w:r>
    </w:p>
    <w:p>
      <w:pPr>
        <w:spacing w:after="80" w:before="60"/>
      </w:pPr>
      <w:r>
        <w:rPr>
          <w:rFonts w:ascii="Arial" w:cs="Arial" w:eastAsia="Arial" w:hAnsi="Arial"/>
          <w:b/>
          <w:bCs/>
          <w:color w:val="2F2F2F"/>
          <w:sz w:val="22"/>
          <w:szCs w:val="22"/>
        </w:rPr>
        <w:t xml:space="preserve">Supplementary References:</w:t>
      </w:r>
    </w:p>
    <w:p>
      <w:pPr>
        <w:pStyle w:val="ListParagraph"/>
        <w:numPr>
          <w:ilvl w:val="0"/>
          <w:numId w:val="3"/>
        </w:numPr>
        <w:spacing w:after="40" w:before="40"/>
      </w:pPr>
      <w:r>
        <w:rPr>
          <w:rFonts w:ascii="Arial" w:cs="Arial" w:eastAsia="Arial" w:hAnsi="Arial"/>
          <w:b w:val="false"/>
          <w:bCs w:val="false"/>
          <w:color w:val="2F2F2F"/>
          <w:sz w:val="22"/>
          <w:szCs w:val="22"/>
        </w:rPr>
        <w:t xml:space="preserve">Mayer, R. E. (2009). Multimedia learning (2nd ed.). Cambridge University Press.</w:t>
      </w:r>
    </w:p>
    <w:p>
      <w:pPr>
        <w:pStyle w:val="ListParagraph"/>
        <w:numPr>
          <w:ilvl w:val="0"/>
          <w:numId w:val="3"/>
        </w:numPr>
        <w:spacing w:after="40" w:before="40"/>
      </w:pPr>
      <w:r>
        <w:rPr>
          <w:rFonts w:ascii="Arial" w:cs="Arial" w:eastAsia="Arial" w:hAnsi="Arial"/>
          <w:b w:val="false"/>
          <w:bCs w:val="false"/>
          <w:color w:val="2F2F2F"/>
          <w:sz w:val="22"/>
          <w:szCs w:val="22"/>
        </w:rPr>
        <w:t xml:space="preserve">Clark, R. C., &amp; Mayer, R. E. (2016). e-Learning and the science of instruction (4th ed.). Wiley.</w:t>
      </w:r>
    </w:p>
    <w:p>
      <w:pPr>
        <w:pStyle w:val="ListParagraph"/>
        <w:numPr>
          <w:ilvl w:val="0"/>
          <w:numId w:val="3"/>
        </w:numPr>
        <w:spacing w:after="40" w:before="40"/>
      </w:pPr>
      <w:r>
        <w:rPr>
          <w:rFonts w:ascii="Arial" w:cs="Arial" w:eastAsia="Arial" w:hAnsi="Arial"/>
          <w:b w:val="false"/>
          <w:bCs w:val="false"/>
          <w:color w:val="2F2F2F"/>
          <w:sz w:val="22"/>
          <w:szCs w:val="22"/>
        </w:rPr>
        <w:t xml:space="preserve">Smiciklas, M. (2012). The power of infographics: Using pictures to communicate and connect with your audiences. Que Publishing.</w:t>
      </w:r>
    </w:p>
    <w:p>
      <w:pPr>
        <w:pStyle w:val="ListParagraph"/>
        <w:numPr>
          <w:ilvl w:val="0"/>
          <w:numId w:val="3"/>
        </w:numPr>
        <w:spacing w:after="40" w:before="40"/>
      </w:pPr>
      <w:r>
        <w:rPr>
          <w:rFonts w:ascii="Arial" w:cs="Arial" w:eastAsia="Arial" w:hAnsi="Arial"/>
          <w:b w:val="false"/>
          <w:bCs w:val="false"/>
          <w:color w:val="2F2F2F"/>
          <w:sz w:val="22"/>
          <w:szCs w:val="22"/>
        </w:rPr>
        <w:t xml:space="preserve">Kirkwood, A., &amp; Price, L. (2014). Technology-enhanced learning and teaching in higher education: What is enhanced and why does it matter? Learning, Media and Technology, 39(1), 6–36.</w:t>
      </w:r>
    </w:p>
    <w:p>
      <w:pPr>
        <w:spacing w:after="0" w:before="60"/>
      </w:pPr>
      <w:r>
        <w:t xml:space="preserve"/>
      </w:r>
    </w:p>
    <w:p>
      <w:pPr>
        <w:spacing w:after="80" w:before="60"/>
      </w:pPr>
      <w:r>
        <w:rPr>
          <w:rFonts w:ascii="Arial" w:cs="Arial" w:eastAsia="Arial" w:hAnsi="Arial"/>
          <w:b/>
          <w:bCs/>
          <w:color w:val="2F2F2F"/>
          <w:sz w:val="22"/>
          <w:szCs w:val="22"/>
        </w:rPr>
        <w:t xml:space="preserve">Online Tools:</w:t>
      </w:r>
    </w:p>
    <w:p>
      <w:pPr>
        <w:pStyle w:val="ListParagraph"/>
        <w:numPr>
          <w:ilvl w:val="0"/>
          <w:numId w:val="3"/>
        </w:numPr>
        <w:spacing w:after="40" w:before="40"/>
      </w:pPr>
      <w:r>
        <w:rPr>
          <w:rFonts w:ascii="Arial" w:cs="Arial" w:eastAsia="Arial" w:hAnsi="Arial"/>
          <w:b w:val="false"/>
          <w:bCs w:val="false"/>
          <w:color w:val="2F2F2F"/>
          <w:sz w:val="22"/>
          <w:szCs w:val="22"/>
        </w:rPr>
        <w:t xml:space="preserve">Microsoft Accessibility Checker: Built into Word, PowerPoint, Excel (Review → Check Accessibility)</w:t>
      </w:r>
    </w:p>
    <w:p>
      <w:pPr>
        <w:pStyle w:val="ListParagraph"/>
        <w:numPr>
          <w:ilvl w:val="0"/>
          <w:numId w:val="3"/>
        </w:numPr>
        <w:spacing w:after="40" w:before="40"/>
      </w:pPr>
      <w:r>
        <w:rPr>
          <w:rFonts w:ascii="Arial" w:cs="Arial" w:eastAsia="Arial" w:hAnsi="Arial"/>
          <w:b w:val="false"/>
          <w:bCs w:val="false"/>
          <w:color w:val="2F2F2F"/>
          <w:sz w:val="22"/>
          <w:szCs w:val="22"/>
        </w:rPr>
        <w:t xml:space="preserve">WebAIM Contrast Checker: https://webaim.org/resources/contrastchecker/</w:t>
      </w:r>
    </w:p>
    <w:p>
      <w:pPr>
        <w:pStyle w:val="ListParagraph"/>
        <w:numPr>
          <w:ilvl w:val="0"/>
          <w:numId w:val="3"/>
        </w:numPr>
        <w:spacing w:after="40" w:before="40"/>
      </w:pPr>
      <w:r>
        <w:rPr>
          <w:rFonts w:ascii="Arial" w:cs="Arial" w:eastAsia="Arial" w:hAnsi="Arial"/>
          <w:b w:val="false"/>
          <w:bCs w:val="false"/>
          <w:color w:val="2F2F2F"/>
          <w:sz w:val="22"/>
          <w:szCs w:val="22"/>
        </w:rPr>
        <w:t xml:space="preserve">WAVE Accessibility Evaluator: https://wave.webaim.org</w:t>
      </w:r>
    </w:p>
    <w:p>
      <w:pPr>
        <w:pStyle w:val="ListParagraph"/>
        <w:numPr>
          <w:ilvl w:val="0"/>
          <w:numId w:val="3"/>
        </w:numPr>
        <w:spacing w:after="40" w:before="40"/>
      </w:pPr>
      <w:r>
        <w:rPr>
          <w:rFonts w:ascii="Arial" w:cs="Arial" w:eastAsia="Arial" w:hAnsi="Arial"/>
          <w:b w:val="false"/>
          <w:bCs w:val="false"/>
          <w:color w:val="2F2F2F"/>
          <w:sz w:val="22"/>
          <w:szCs w:val="22"/>
        </w:rPr>
        <w:t xml:space="preserve">HandBrake (video compression): https://handbrake.fr</w:t>
      </w:r>
    </w:p>
    <w:p>
      <w:pPr>
        <w:pStyle w:val="ListParagraph"/>
        <w:numPr>
          <w:ilvl w:val="0"/>
          <w:numId w:val="3"/>
        </w:numPr>
        <w:spacing w:after="40" w:before="40"/>
      </w:pPr>
      <w:r>
        <w:rPr>
          <w:rFonts w:ascii="Arial" w:cs="Arial" w:eastAsia="Arial" w:hAnsi="Arial"/>
          <w:b w:val="false"/>
          <w:bCs w:val="false"/>
          <w:color w:val="2F2F2F"/>
          <w:sz w:val="22"/>
          <w:szCs w:val="22"/>
        </w:rPr>
        <w:t xml:space="preserve">H5P (interactive content): https://h5p.org</w:t>
      </w:r>
    </w:p>
    <w:p>
      <w:pPr>
        <w:pStyle w:val="ListParagraph"/>
        <w:numPr>
          <w:ilvl w:val="0"/>
          <w:numId w:val="3"/>
        </w:numPr>
        <w:spacing w:after="40" w:before="40"/>
      </w:pPr>
      <w:r>
        <w:rPr>
          <w:rFonts w:ascii="Arial" w:cs="Arial" w:eastAsia="Arial" w:hAnsi="Arial"/>
          <w:b w:val="false"/>
          <w:bCs w:val="false"/>
          <w:color w:val="2F2F2F"/>
          <w:sz w:val="22"/>
          <w:szCs w:val="22"/>
        </w:rPr>
        <w:t xml:space="preserve">Amara (captioning tool): https://amara.org</w:t>
      </w:r>
    </w:p>
    <w:p>
      <w:pPr>
        <w:spacing w:after="0" w:before="200"/>
      </w:pPr>
      <w:r>
        <w:t xml:space="preserve"/>
      </w:r>
    </w:p>
    <w:p>
      <w:pPr>
        <w:pBdr>
          <w:top w:val="single" w:color="2E75B6" w:sz="4" w:space="1"/>
        </w:pBdr>
        <w:spacing w:after="60" w:before="200"/>
      </w:pPr>
      <w:r>
        <w:t xml:space="preserve"/>
      </w:r>
    </w:p>
    <w:p>
      <w:pPr>
        <w:jc w:val="center"/>
      </w:pPr>
      <w:r>
        <w:rPr>
          <w:rFonts w:ascii="Arial" w:cs="Arial" w:eastAsia="Arial" w:hAnsi="Arial"/>
          <w:color w:val="595959"/>
          <w:sz w:val="18"/>
          <w:szCs w:val="18"/>
        </w:rPr>
        <w:t xml:space="preserve">MET9243 — Unit 4 Resources | University of Rwanda | Master of Educational Technology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F2F2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100" w:before="28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F4E7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2026-05-15T22:11:36.431Z</dcterms:created>
  <dcterms:modified xsi:type="dcterms:W3CDTF">2026-05-15T22:11:36.431Z</dcterms:modified>
</cp:coreProperties>
</file>

<file path=docProps/custom.xml><?xml version="1.0" encoding="utf-8"?>
<Properties xmlns="http://schemas.openxmlformats.org/officeDocument/2006/custom-properties" xmlns:vt="http://schemas.openxmlformats.org/officeDocument/2006/docPropsVTypes"/>
</file>